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5" w:type="dxa"/>
        <w:shd w:val="clear" w:color="auto" w:fill="FFFFFF"/>
        <w:tblCellMar>
          <w:left w:w="0" w:type="dxa"/>
          <w:right w:w="0" w:type="dxa"/>
        </w:tblCellMar>
        <w:tblLook w:val="04A0" w:firstRow="1" w:lastRow="0" w:firstColumn="1" w:lastColumn="0" w:noHBand="0" w:noVBand="1"/>
      </w:tblPr>
      <w:tblGrid>
        <w:gridCol w:w="3588"/>
        <w:gridCol w:w="6297"/>
      </w:tblGrid>
      <w:tr w:rsidR="00954A4A" w:rsidTr="00954A4A">
        <w:trPr>
          <w:trHeight w:val="810"/>
        </w:trPr>
        <w:tc>
          <w:tcPr>
            <w:tcW w:w="36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bookmarkStart w:id="0" w:name="_GoBack"/>
            <w:bookmarkEnd w:id="0"/>
            <w:r>
              <w:rPr>
                <w:rStyle w:val="Strong"/>
                <w:rFonts w:ascii="inherit" w:hAnsi="inherit" w:cs="Arial"/>
                <w:color w:val="000000"/>
                <w:sz w:val="21"/>
                <w:szCs w:val="21"/>
                <w:bdr w:val="none" w:sz="0" w:space="0" w:color="auto" w:frame="1"/>
              </w:rPr>
              <w:t>Đơn vị báo cáo:</w:t>
            </w: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Địa chỉ:</w:t>
            </w:r>
            <w:r>
              <w:rPr>
                <w:rFonts w:ascii="inherit" w:hAnsi="inherit" w:cs="Arial"/>
                <w:color w:val="000000"/>
                <w:sz w:val="21"/>
                <w:szCs w:val="21"/>
                <w:bdr w:val="none" w:sz="0" w:space="0" w:color="auto" w:frame="1"/>
              </w:rPr>
              <w:t> .........................................</w:t>
            </w:r>
          </w:p>
        </w:tc>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Mẫu số B09 – DN</w:t>
            </w:r>
          </w:p>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r>
              <w:rPr>
                <w:rStyle w:val="Emphasis"/>
                <w:rFonts w:ascii="inherit" w:hAnsi="inherit" w:cs="Arial"/>
                <w:color w:val="000000"/>
                <w:sz w:val="21"/>
                <w:szCs w:val="21"/>
                <w:bdr w:val="none" w:sz="0" w:space="0" w:color="auto" w:frame="1"/>
              </w:rPr>
              <w:t>Ban hành theo </w:t>
            </w:r>
            <w:hyperlink r:id="rId8" w:tgtFrame="_blank" w:history="1">
              <w:r>
                <w:rPr>
                  <w:rStyle w:val="Hyperlink"/>
                  <w:rFonts w:ascii="inherit" w:hAnsi="inherit" w:cs="Arial"/>
                  <w:i/>
                  <w:iCs/>
                  <w:color w:val="135ECD"/>
                  <w:sz w:val="21"/>
                  <w:szCs w:val="21"/>
                  <w:bdr w:val="none" w:sz="0" w:space="0" w:color="auto" w:frame="1"/>
                </w:rPr>
                <w:t>Thông tư số 200/2014/TT-BTC</w:t>
              </w:r>
            </w:hyperlink>
          </w:p>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Emphasis"/>
                <w:rFonts w:ascii="inherit" w:hAnsi="inherit" w:cs="Arial"/>
                <w:color w:val="000000"/>
                <w:sz w:val="21"/>
                <w:szCs w:val="21"/>
                <w:bdr w:val="none" w:sz="0" w:space="0" w:color="auto" w:frame="1"/>
              </w:rPr>
              <w:t>ngày 22/12/2014 của Bộ Tài chính</w:t>
            </w:r>
            <w:r>
              <w:rPr>
                <w:rFonts w:ascii="inherit" w:hAnsi="inherit" w:cs="Arial"/>
                <w:color w:val="000000"/>
                <w:sz w:val="21"/>
                <w:szCs w:val="21"/>
                <w:bdr w:val="none" w:sz="0" w:space="0" w:color="auto" w:frame="1"/>
              </w:rPr>
              <w:t>)</w:t>
            </w:r>
          </w:p>
        </w:tc>
      </w:tr>
    </w:tbl>
    <w:p w:rsidR="00954A4A" w:rsidRDefault="00954A4A" w:rsidP="00954A4A">
      <w:pPr>
        <w:pStyle w:val="NormalWeb"/>
        <w:shd w:val="clear" w:color="auto" w:fill="FFFFFF"/>
        <w:spacing w:before="0" w:beforeAutospacing="0" w:after="90" w:afterAutospacing="0" w:line="345" w:lineRule="atLeast"/>
        <w:ind w:left="720"/>
        <w:textAlignment w:val="baseline"/>
        <w:rPr>
          <w:rFonts w:ascii="Arial" w:eastAsia="Calibri" w:hAnsi="Arial" w:cs="Arial"/>
          <w:color w:val="000000"/>
          <w:sz w:val="21"/>
          <w:szCs w:val="21"/>
        </w:rPr>
      </w:pPr>
      <w:r>
        <w:rPr>
          <w:rFonts w:ascii="Arial" w:hAnsi="Arial" w:cs="Arial"/>
          <w:color w:val="000000"/>
          <w:sz w:val="21"/>
          <w:szCs w:val="21"/>
        </w:rPr>
        <w:t> </w:t>
      </w:r>
    </w:p>
    <w:p w:rsidR="00954A4A" w:rsidRDefault="00954A4A" w:rsidP="00954A4A">
      <w:pPr>
        <w:pStyle w:val="Heading2"/>
        <w:shd w:val="clear" w:color="auto" w:fill="FFFFFF"/>
        <w:spacing w:before="0" w:after="0"/>
        <w:jc w:val="center"/>
        <w:textAlignment w:val="baseline"/>
        <w:rPr>
          <w:rFonts w:eastAsia="Times New Roman" w:cs="Arial"/>
          <w:color w:val="000000"/>
          <w:sz w:val="36"/>
          <w:szCs w:val="36"/>
        </w:rPr>
      </w:pPr>
      <w:r>
        <w:rPr>
          <w:rStyle w:val="Strong"/>
          <w:rFonts w:ascii="inherit" w:eastAsia="Times New Roman" w:hAnsi="inherit" w:cs="Arial"/>
          <w:b/>
          <w:bCs w:val="0"/>
          <w:color w:val="000000"/>
          <w:sz w:val="21"/>
          <w:szCs w:val="21"/>
          <w:bdr w:val="none" w:sz="0" w:space="0" w:color="auto" w:frame="1"/>
        </w:rPr>
        <w:t>BẢN THUYẾT MINH BÁO CÁO TÀI CHÍNH</w:t>
      </w:r>
    </w:p>
    <w:p w:rsidR="00954A4A" w:rsidRDefault="00954A4A" w:rsidP="00954A4A">
      <w:pPr>
        <w:pStyle w:val="NormalWeb"/>
        <w:shd w:val="clear" w:color="auto" w:fill="FFFFFF"/>
        <w:spacing w:before="0" w:beforeAutospacing="0" w:after="0" w:afterAutospacing="0" w:line="345" w:lineRule="atLeast"/>
        <w:jc w:val="center"/>
        <w:textAlignment w:val="baseline"/>
        <w:rPr>
          <w:rFonts w:ascii="Arial" w:eastAsia="Calibri" w:hAnsi="Arial" w:cs="Arial"/>
          <w:color w:val="000000"/>
          <w:sz w:val="21"/>
          <w:szCs w:val="21"/>
        </w:rPr>
      </w:pPr>
      <w:r>
        <w:rPr>
          <w:rStyle w:val="Emphasis"/>
          <w:rFonts w:ascii="inherit" w:hAnsi="inherit" w:cs="Arial"/>
          <w:color w:val="000000"/>
          <w:sz w:val="21"/>
          <w:szCs w:val="21"/>
          <w:bdr w:val="none" w:sz="0" w:space="0" w:color="auto" w:frame="1"/>
        </w:rPr>
        <w:t>Năm ....... (1)</w:t>
      </w:r>
    </w:p>
    <w:p w:rsidR="00954A4A" w:rsidRDefault="00954A4A" w:rsidP="00954A4A">
      <w:pPr>
        <w:pStyle w:val="NormalWeb"/>
        <w:shd w:val="clear" w:color="auto" w:fill="FFFFFF"/>
        <w:spacing w:before="0" w:beforeAutospacing="0" w:after="90" w:afterAutospacing="0" w:line="345" w:lineRule="atLeast"/>
        <w:jc w:val="center"/>
        <w:textAlignment w:val="baseline"/>
        <w:rPr>
          <w:rFonts w:ascii="Arial" w:hAnsi="Arial" w:cs="Arial"/>
          <w:color w:val="000000"/>
          <w:sz w:val="21"/>
          <w:szCs w:val="21"/>
        </w:rPr>
      </w:pPr>
      <w:r>
        <w:rPr>
          <w:rFonts w:ascii="Arial"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Strong"/>
          <w:rFonts w:ascii="inherit" w:hAnsi="inherit" w:cs="Arial"/>
          <w:color w:val="000000"/>
          <w:sz w:val="21"/>
          <w:szCs w:val="21"/>
          <w:bdr w:val="none" w:sz="0" w:space="0" w:color="auto" w:frame="1"/>
        </w:rPr>
        <w:t>I. Đặc điểm hoạt động của doanh nghiệp</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 Hình thức sở hữu vốn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2. Lĩnh vực kinh doanh</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3. Ngành nghề kinh doanh</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4. Đặc điểm hoạt động của doanh nghiệp trong năm tài chính có ảnh hưởng đến báo cáo tài chính.</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Strong"/>
          <w:rFonts w:ascii="inherit" w:hAnsi="inherit" w:cs="Arial"/>
          <w:color w:val="000000"/>
          <w:sz w:val="21"/>
          <w:szCs w:val="21"/>
          <w:bdr w:val="none" w:sz="0" w:space="0" w:color="auto" w:frame="1"/>
        </w:rPr>
        <w:t>II. Kỳ kế toán, đơn vị tiền tệ sử dụng trong kế toán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 Kỳ kế toán năm (bắt đầu từ ngày..../..../.... kết thúc vào ngày ..../..../...).</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2. Đơn vị tiền tệ sử dụng trong kế toán.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Strong"/>
          <w:rFonts w:ascii="inherit" w:hAnsi="inherit" w:cs="Arial"/>
          <w:color w:val="000000"/>
          <w:sz w:val="21"/>
          <w:szCs w:val="21"/>
          <w:bdr w:val="none" w:sz="0" w:space="0" w:color="auto" w:frame="1"/>
        </w:rPr>
        <w:t>III. Chuẩn mực và Chế độ kế toán áp dụng</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 Chế độ kế toán áp dụng</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2. Tuyên bố về việc tuân thủ Chuẩn mực kế toán và Chế độ kế toán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3. Hình thức kế toán áp dụng</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Strong"/>
          <w:rFonts w:ascii="inherit" w:hAnsi="inherit" w:cs="Arial"/>
          <w:color w:val="000000"/>
          <w:sz w:val="21"/>
          <w:szCs w:val="21"/>
          <w:bdr w:val="none" w:sz="0" w:space="0" w:color="auto" w:frame="1"/>
        </w:rPr>
        <w:t>IV. Các chính sách kế toán áp dụng</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 Nguyên tắc ghi nhận các khoản tiền và các khoản tương đương tiền.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Phương pháp chuyển đổi các đồng tiền khác ra đồng tiền sử dụng trong kế toán.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2. Nguyên tắc ghi nhận hàng tồn kho:</w:t>
      </w:r>
    </w:p>
    <w:p w:rsidR="00954A4A" w:rsidRDefault="00954A4A" w:rsidP="00954A4A">
      <w:pPr>
        <w:numPr>
          <w:ilvl w:val="0"/>
          <w:numId w:val="9"/>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Nguyên tắc ghi nhận hàng tồn kho;</w:t>
      </w:r>
    </w:p>
    <w:p w:rsidR="00954A4A" w:rsidRDefault="00954A4A" w:rsidP="00954A4A">
      <w:pPr>
        <w:numPr>
          <w:ilvl w:val="0"/>
          <w:numId w:val="9"/>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Phương pháp tính giá trị hàng tồn kho;</w:t>
      </w:r>
    </w:p>
    <w:p w:rsidR="00954A4A" w:rsidRDefault="00954A4A" w:rsidP="00954A4A">
      <w:pPr>
        <w:numPr>
          <w:ilvl w:val="0"/>
          <w:numId w:val="9"/>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Phương pháp hạch toán hàng tồn kho;</w:t>
      </w:r>
    </w:p>
    <w:p w:rsidR="00954A4A" w:rsidRDefault="00954A4A" w:rsidP="00954A4A">
      <w:pPr>
        <w:numPr>
          <w:ilvl w:val="0"/>
          <w:numId w:val="9"/>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Phương pháp lập dự phòng giảm giá hàng tồn kho.</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3. Nguyên tắc ghi nhận và khấu hao TSCĐ và bất động sản đầu tư:</w:t>
      </w:r>
    </w:p>
    <w:p w:rsidR="00954A4A" w:rsidRDefault="00954A4A" w:rsidP="00954A4A">
      <w:pPr>
        <w:numPr>
          <w:ilvl w:val="0"/>
          <w:numId w:val="10"/>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Nguyên tắc ghi nhận TSCĐ (hữu hình, vô hình, thuê tài chính);</w:t>
      </w:r>
    </w:p>
    <w:p w:rsidR="00954A4A" w:rsidRDefault="00954A4A" w:rsidP="00954A4A">
      <w:pPr>
        <w:numPr>
          <w:ilvl w:val="0"/>
          <w:numId w:val="10"/>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Phương pháp khấu hao TSCĐ (hữu hình, vô hình, thuê tài chính).</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4. Nguyên tắc ghi nhận và khấu hao bất động sản đầu tư</w:t>
      </w:r>
    </w:p>
    <w:p w:rsidR="00954A4A" w:rsidRDefault="00954A4A" w:rsidP="00954A4A">
      <w:pPr>
        <w:numPr>
          <w:ilvl w:val="0"/>
          <w:numId w:val="11"/>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Nguyên tắc ghi nhận bất động sản đầu tư;</w:t>
      </w:r>
    </w:p>
    <w:p w:rsidR="00954A4A" w:rsidRDefault="00954A4A" w:rsidP="00954A4A">
      <w:pPr>
        <w:numPr>
          <w:ilvl w:val="0"/>
          <w:numId w:val="11"/>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Phương pháp khấu hao bất động sản đầu tư.</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5. Nguyên tắc ghi nhận các khoản đầu tư tài chính:</w:t>
      </w:r>
    </w:p>
    <w:p w:rsidR="00954A4A" w:rsidRDefault="00954A4A" w:rsidP="00954A4A">
      <w:pPr>
        <w:numPr>
          <w:ilvl w:val="0"/>
          <w:numId w:val="12"/>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Các khoản đầu tư vào công ty con, công ty liên kết, vốn góp vào cơ sở kinh doanh đồng kiểm soát;</w:t>
      </w:r>
    </w:p>
    <w:p w:rsidR="00954A4A" w:rsidRDefault="00954A4A" w:rsidP="00954A4A">
      <w:pPr>
        <w:numPr>
          <w:ilvl w:val="0"/>
          <w:numId w:val="12"/>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Các khoản đầu tư chứng khoán ngắn hạn;</w:t>
      </w:r>
    </w:p>
    <w:p w:rsidR="00954A4A" w:rsidRDefault="00954A4A" w:rsidP="00954A4A">
      <w:pPr>
        <w:numPr>
          <w:ilvl w:val="0"/>
          <w:numId w:val="12"/>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Các khoản đầu tư ngắn hạn, dài hạn khác;</w:t>
      </w:r>
    </w:p>
    <w:p w:rsidR="00954A4A" w:rsidRDefault="00954A4A" w:rsidP="00954A4A">
      <w:pPr>
        <w:numPr>
          <w:ilvl w:val="0"/>
          <w:numId w:val="12"/>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Phương pháp lập dự phòng giảm giá đầu tư ngắn hạn, dài hạn.</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6. Nguyên tắc ghi nhận và vốn hóa các khoản chi phí đi vay:</w:t>
      </w:r>
    </w:p>
    <w:p w:rsidR="00954A4A" w:rsidRDefault="00954A4A" w:rsidP="00954A4A">
      <w:pPr>
        <w:numPr>
          <w:ilvl w:val="0"/>
          <w:numId w:val="13"/>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Nguyên tắc ghi nhận chi phí đi vay;</w:t>
      </w:r>
    </w:p>
    <w:p w:rsidR="00954A4A" w:rsidRDefault="00954A4A" w:rsidP="00954A4A">
      <w:pPr>
        <w:numPr>
          <w:ilvl w:val="0"/>
          <w:numId w:val="13"/>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Tỷ lệ vốn hóa được sử dụng để xác định chi phí đi vay được vốn hóa trong kỳ;</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lastRenderedPageBreak/>
        <w:t>7. Nguyên tắc ghi nhận và vốn hóa các khoản chi phí khác:</w:t>
      </w:r>
    </w:p>
    <w:p w:rsidR="00954A4A" w:rsidRDefault="00954A4A" w:rsidP="00954A4A">
      <w:pPr>
        <w:numPr>
          <w:ilvl w:val="0"/>
          <w:numId w:val="14"/>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Chi phí trả trước;</w:t>
      </w:r>
    </w:p>
    <w:p w:rsidR="00954A4A" w:rsidRDefault="00954A4A" w:rsidP="00954A4A">
      <w:pPr>
        <w:numPr>
          <w:ilvl w:val="0"/>
          <w:numId w:val="14"/>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Chi phí khác;</w:t>
      </w:r>
    </w:p>
    <w:p w:rsidR="00954A4A" w:rsidRDefault="00954A4A" w:rsidP="00954A4A">
      <w:pPr>
        <w:numPr>
          <w:ilvl w:val="0"/>
          <w:numId w:val="14"/>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Phương pháp phân bổ chi phí trả trước ;</w:t>
      </w:r>
    </w:p>
    <w:p w:rsidR="00954A4A" w:rsidRDefault="00954A4A" w:rsidP="00954A4A">
      <w:pPr>
        <w:numPr>
          <w:ilvl w:val="0"/>
          <w:numId w:val="14"/>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Phương pháp và thời gian phân bổ lợi thế thương mại.</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8. Nguyên tắc ghi nhận chi phí phải trả.</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9. Nguyên tắc và phương pháp ghi nhận các khoản dự phòng phải trả.</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10. Nguyên tắc ghi nhận vốn chủ sở hữu:</w:t>
      </w:r>
    </w:p>
    <w:p w:rsidR="00954A4A" w:rsidRDefault="00954A4A" w:rsidP="00954A4A">
      <w:pPr>
        <w:numPr>
          <w:ilvl w:val="0"/>
          <w:numId w:val="15"/>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Nguyên tắc ghi nhận vốn đầu tư của chủ sở hữu, thặng dư vốn cổ phần, vốn khác của chủ sở hữu.</w:t>
      </w:r>
    </w:p>
    <w:p w:rsidR="00954A4A" w:rsidRDefault="00954A4A" w:rsidP="00954A4A">
      <w:pPr>
        <w:numPr>
          <w:ilvl w:val="0"/>
          <w:numId w:val="15"/>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Nguyên tắc ghi nhận chênh lệch đánh giá lại tài sản.</w:t>
      </w:r>
    </w:p>
    <w:p w:rsidR="00954A4A" w:rsidRDefault="00954A4A" w:rsidP="00954A4A">
      <w:pPr>
        <w:numPr>
          <w:ilvl w:val="0"/>
          <w:numId w:val="15"/>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Nguyên tắc ghi nhận chênh lệch tỷ giá.</w:t>
      </w:r>
    </w:p>
    <w:p w:rsidR="00954A4A" w:rsidRDefault="00954A4A" w:rsidP="00954A4A">
      <w:pPr>
        <w:numPr>
          <w:ilvl w:val="0"/>
          <w:numId w:val="15"/>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Nguyên tắc ghi nhận lợi nhuận chưa phân phối.</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11. Nguyên tắc và phương pháp ghi nhận doanh thu:</w:t>
      </w:r>
    </w:p>
    <w:p w:rsidR="00954A4A" w:rsidRDefault="00954A4A" w:rsidP="00954A4A">
      <w:pPr>
        <w:numPr>
          <w:ilvl w:val="0"/>
          <w:numId w:val="16"/>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Doanh thu bán hàng;</w:t>
      </w:r>
    </w:p>
    <w:p w:rsidR="00954A4A" w:rsidRDefault="00954A4A" w:rsidP="00954A4A">
      <w:pPr>
        <w:numPr>
          <w:ilvl w:val="0"/>
          <w:numId w:val="16"/>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Doanh thu cung cấp dịch vụ;</w:t>
      </w:r>
    </w:p>
    <w:p w:rsidR="00954A4A" w:rsidRDefault="00954A4A" w:rsidP="00954A4A">
      <w:pPr>
        <w:numPr>
          <w:ilvl w:val="0"/>
          <w:numId w:val="16"/>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Doanh thu hoạt động tài chính;</w:t>
      </w:r>
    </w:p>
    <w:p w:rsidR="00954A4A" w:rsidRDefault="00954A4A" w:rsidP="00954A4A">
      <w:pPr>
        <w:numPr>
          <w:ilvl w:val="0"/>
          <w:numId w:val="16"/>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Doanh thu hợp đồng xây dựng.</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12. Nguyên tắc và phương pháp ghi nhận chi phí tài chính.</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13. Nguyên tắc và phương pháp ghi nhận chi phí thuế thu nhập doanh nghiệp hiện hành, chi phí thuế thu nhập doanh nghiệp hoãn lại.</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14. Các nghiệp vụ dự phòng rủi ro hối đoái.</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15. Các nguyên tắc và phương pháp kế toán khác.</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Strong"/>
          <w:rFonts w:ascii="inherit" w:hAnsi="inherit" w:cs="Arial"/>
          <w:color w:val="000000"/>
          <w:sz w:val="21"/>
          <w:szCs w:val="21"/>
          <w:bdr w:val="none" w:sz="0" w:space="0" w:color="auto" w:frame="1"/>
        </w:rPr>
        <w:t>V. Thông tin bổ sung cho các khoản mục trình bày trong Bảng cân đối kế toán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(Đơn vị tính:......)</w:t>
      </w:r>
    </w:p>
    <w:tbl>
      <w:tblPr>
        <w:tblW w:w="9885" w:type="dxa"/>
        <w:shd w:val="clear" w:color="auto" w:fill="FFFFFF"/>
        <w:tblCellMar>
          <w:left w:w="0" w:type="dxa"/>
          <w:right w:w="0" w:type="dxa"/>
        </w:tblCellMar>
        <w:tblLook w:val="04A0" w:firstRow="1" w:lastRow="0" w:firstColumn="1" w:lastColumn="0" w:noHBand="0" w:noVBand="1"/>
      </w:tblPr>
      <w:tblGrid>
        <w:gridCol w:w="6615"/>
        <w:gridCol w:w="1712"/>
        <w:gridCol w:w="1558"/>
      </w:tblGrid>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01- Tiền</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Tiền mặt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Tiền gửi ngân hàng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Tiền đang chuyển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Cộ</w:t>
            </w:r>
            <w:r>
              <w:rPr>
                <w:rStyle w:val="Strong"/>
                <w:rFonts w:ascii="inherit" w:hAnsi="inherit" w:cs="Arial"/>
                <w:color w:val="000000"/>
                <w:sz w:val="21"/>
                <w:szCs w:val="21"/>
                <w:bdr w:val="none" w:sz="0" w:space="0" w:color="auto" w:frame="1"/>
              </w:rPr>
              <w:t>ng</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02- Các khoản đầu tư tài chính ngắn hạn:</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Chứng khoán đầu tư ngắn hạn</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Đầu tư ngắn hạn khác  </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Dự phòng giảm giá đầu tư ngắn hạn</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Cộng</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03- Các khoản phải thu ngắn hạn khác</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Phải thu về cổ phần hoá</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Phải thu về cổ tức và lợi nhuận được chia</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Phải thu người lao động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Phải thu khác</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lastRenderedPageBreak/>
              <w:t>Cộng</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04- Hàng tồn kho</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c>
          <w:tcPr>
            <w:tcW w:w="64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Hàng mua đang đi đường</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Nguyên liệu, vật liệu</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Công cụ, dụng cụ</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Chi phí SX, KD dở dang</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Thành phẩm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Hàng hóa</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Hàng gửi đi bán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Hàng hoá kho bảo thuế</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Hàng hoá bất động sản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Cộng giá gốc hàng tồn kho</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bl>
    <w:p w:rsidR="00954A4A" w:rsidRDefault="00954A4A" w:rsidP="00954A4A">
      <w:pPr>
        <w:pStyle w:val="NormalWeb"/>
        <w:shd w:val="clear" w:color="auto" w:fill="FFFFFF"/>
        <w:spacing w:before="0" w:beforeAutospacing="0" w:after="0" w:afterAutospacing="0" w:line="345" w:lineRule="atLeast"/>
        <w:ind w:left="16"/>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 Giá trị ghi sổ của hàng tồn kho dùng để thế chấp, cầm cố đảm bảo các khoản nợ phải trả:        </w:t>
      </w:r>
    </w:p>
    <w:p w:rsidR="00954A4A" w:rsidRDefault="00954A4A" w:rsidP="00954A4A">
      <w:pPr>
        <w:pStyle w:val="NormalWeb"/>
        <w:shd w:val="clear" w:color="auto" w:fill="FFFFFF"/>
        <w:spacing w:before="0" w:beforeAutospacing="0" w:after="0" w:afterAutospacing="0" w:line="345" w:lineRule="atLeast"/>
        <w:ind w:left="16"/>
        <w:textAlignment w:val="baseline"/>
        <w:rPr>
          <w:rFonts w:ascii="Arial" w:hAnsi="Arial" w:cs="Arial"/>
          <w:color w:val="000000"/>
          <w:sz w:val="21"/>
          <w:szCs w:val="21"/>
        </w:rPr>
      </w:pPr>
      <w:r>
        <w:rPr>
          <w:rFonts w:ascii="inherit" w:hAnsi="inherit" w:cs="Arial"/>
          <w:color w:val="000000"/>
          <w:sz w:val="21"/>
          <w:szCs w:val="21"/>
          <w:bdr w:val="none" w:sz="0" w:space="0" w:color="auto" w:frame="1"/>
        </w:rPr>
        <w:t>* Giá trị hoàn nhập dự phòng giảm giá hàng tồn kho trong năm:............................................</w:t>
      </w:r>
    </w:p>
    <w:p w:rsidR="00954A4A" w:rsidRDefault="00954A4A" w:rsidP="00954A4A">
      <w:pPr>
        <w:pStyle w:val="NormalWeb"/>
        <w:shd w:val="clear" w:color="auto" w:fill="FFFFFF"/>
        <w:spacing w:before="0" w:beforeAutospacing="0" w:after="0" w:afterAutospacing="0" w:line="345" w:lineRule="atLeast"/>
        <w:ind w:left="16"/>
        <w:textAlignment w:val="baseline"/>
        <w:rPr>
          <w:rFonts w:ascii="Arial" w:hAnsi="Arial" w:cs="Arial"/>
          <w:color w:val="000000"/>
          <w:sz w:val="21"/>
          <w:szCs w:val="21"/>
        </w:rPr>
      </w:pPr>
      <w:r>
        <w:rPr>
          <w:rFonts w:ascii="inherit" w:hAnsi="inherit" w:cs="Arial"/>
          <w:color w:val="000000"/>
          <w:sz w:val="21"/>
          <w:szCs w:val="21"/>
          <w:bdr w:val="none" w:sz="0" w:space="0" w:color="auto" w:frame="1"/>
        </w:rPr>
        <w:t>* Các trường hợp hoặc sự kiện dẫn đến phải trích thêm hoặc hoàn nhập dự phòng giảm giá hàng tồn kho:...........................................................................</w:t>
      </w:r>
    </w:p>
    <w:tbl>
      <w:tblPr>
        <w:tblW w:w="9885" w:type="dxa"/>
        <w:jc w:val="center"/>
        <w:shd w:val="clear" w:color="auto" w:fill="FFFFFF"/>
        <w:tblCellMar>
          <w:left w:w="0" w:type="dxa"/>
          <w:right w:w="0" w:type="dxa"/>
        </w:tblCellMar>
        <w:tblLook w:val="04A0" w:firstRow="1" w:lastRow="0" w:firstColumn="1" w:lastColumn="0" w:noHBand="0" w:noVBand="1"/>
      </w:tblPr>
      <w:tblGrid>
        <w:gridCol w:w="6589"/>
        <w:gridCol w:w="1735"/>
        <w:gridCol w:w="1561"/>
      </w:tblGrid>
      <w:tr w:rsidR="00954A4A" w:rsidTr="00954A4A">
        <w:trPr>
          <w:trHeight w:val="31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05- Thuế và các khoản phải thu Nhà nước</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trHeight w:val="127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Thuế thu nhập doanh nghiệp nộp thừa</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Các khoản khác phải thu Nhà nước: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Cộng</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    </w:t>
            </w:r>
          </w:p>
        </w:tc>
      </w:tr>
      <w:tr w:rsidR="00954A4A" w:rsidTr="00954A4A">
        <w:trPr>
          <w:trHeight w:val="127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06- Phải thu dài hạn nội bộ</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Cho vay dài hạn nội bộ</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Phải thu dài hạn nội bộ khác</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r>
      <w:tr w:rsidR="00954A4A" w:rsidTr="00954A4A">
        <w:trPr>
          <w:trHeight w:val="31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r>
      <w:tr w:rsidR="00954A4A" w:rsidTr="00954A4A">
        <w:trPr>
          <w:trHeight w:val="31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07- Phải thu dài hạn khác</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trHeight w:val="630"/>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Ký quỹ, ký cược dài hạn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Các khoản tiền nhận uỷ thác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Cho vay không có lãi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Phải thu dài hạn khác  </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r>
      <w:tr w:rsidR="00954A4A" w:rsidTr="00954A4A">
        <w:trPr>
          <w:trHeight w:val="315"/>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7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c>
          <w:tcPr>
            <w:tcW w:w="15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    08 - Tăng, giảm tài sản cố định hữu hình:</w:t>
      </w:r>
    </w:p>
    <w:tbl>
      <w:tblPr>
        <w:tblW w:w="9885" w:type="dxa"/>
        <w:jc w:val="center"/>
        <w:shd w:val="clear" w:color="auto" w:fill="FFFFFF"/>
        <w:tblCellMar>
          <w:left w:w="0" w:type="dxa"/>
          <w:right w:w="0" w:type="dxa"/>
        </w:tblCellMar>
        <w:tblLook w:val="04A0" w:firstRow="1" w:lastRow="0" w:firstColumn="1" w:lastColumn="0" w:noHBand="0" w:noVBand="1"/>
      </w:tblPr>
      <w:tblGrid>
        <w:gridCol w:w="3747"/>
        <w:gridCol w:w="998"/>
        <w:gridCol w:w="986"/>
        <w:gridCol w:w="1298"/>
        <w:gridCol w:w="692"/>
        <w:gridCol w:w="932"/>
        <w:gridCol w:w="1232"/>
      </w:tblGrid>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lastRenderedPageBreak/>
              <w:t>Khoản mục</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Nhà cửa, vật kiến trúc</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Máy móc, thiết bị</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Phương tiện vận tải, truyền dẫn</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TSCĐ hữu hình khác</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Tổng cộng</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Nguyên giá TSCĐ hữu hình</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đầu năm</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Mua trong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Đầu tư XDCB hoàn thành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Chuyển sang bất động sản đầu tư</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Thanh lý, nhượng bán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khác</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cuối năm</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Giá trị hao mòn lũy kế</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đầu năm</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Khấu hao trong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Chuyển sang bất động sản đầu tư</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Thanh lý, nhượng bán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khác</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cuối năm</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Giá trị còn lại của TSCĐ</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hữu hình</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jc w:val="center"/>
        </w:trPr>
        <w:tc>
          <w:tcPr>
            <w:tcW w:w="38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Tại ngày đầu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Tại ngày cuối năm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ind w:left="330"/>
        <w:textAlignment w:val="baseline"/>
        <w:rPr>
          <w:rFonts w:ascii="Arial" w:eastAsia="Calibri" w:hAnsi="Arial" w:cs="Arial"/>
          <w:color w:val="000000"/>
          <w:sz w:val="21"/>
          <w:szCs w:val="21"/>
        </w:rPr>
      </w:pPr>
      <w:r>
        <w:rPr>
          <w:rStyle w:val="Emphasis"/>
          <w:rFonts w:ascii="inherit" w:hAnsi="inherit" w:cs="Arial"/>
          <w:color w:val="000000"/>
          <w:sz w:val="21"/>
          <w:szCs w:val="21"/>
          <w:bdr w:val="none" w:sz="0" w:space="0" w:color="auto" w:frame="1"/>
        </w:rPr>
        <w:t>- Giá trị còn lại cuối năm của TSCĐ hữu hình đã dùng để thế chấp, cầm cố đảm bảo các khoản vay:</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 Nguyên giá TSCĐ cuối năm</w:t>
      </w:r>
      <w:r>
        <w:rPr>
          <w:rFonts w:ascii="inherit" w:hAnsi="inherit" w:cs="Arial"/>
          <w:color w:val="000000"/>
          <w:sz w:val="21"/>
          <w:szCs w:val="21"/>
          <w:bdr w:val="none" w:sz="0" w:space="0" w:color="auto" w:frame="1"/>
        </w:rPr>
        <w:t> </w:t>
      </w:r>
      <w:r>
        <w:rPr>
          <w:rStyle w:val="Emphasis"/>
          <w:rFonts w:ascii="inherit" w:hAnsi="inherit" w:cs="Arial"/>
          <w:color w:val="000000"/>
          <w:sz w:val="21"/>
          <w:szCs w:val="21"/>
          <w:bdr w:val="none" w:sz="0" w:space="0" w:color="auto" w:frame="1"/>
        </w:rPr>
        <w:t>đã khấu hao hết nhưng vẫn còn sử dụng:</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 Nguyên giá TSCĐ cuối năm chờ thanh lý:       </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 Các cam kết về việc mua, bán TSCĐ hữu hình có giá trị lớn trong tương lai:</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 Các thay đổi khác về TSCĐ hữu hình:</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09- Tăng, giảm tài sản cố định thuê tài chính:</w:t>
      </w:r>
    </w:p>
    <w:tbl>
      <w:tblPr>
        <w:tblW w:w="9885" w:type="dxa"/>
        <w:shd w:val="clear" w:color="auto" w:fill="FFFFFF"/>
        <w:tblCellMar>
          <w:left w:w="0" w:type="dxa"/>
          <w:right w:w="0" w:type="dxa"/>
        </w:tblCellMar>
        <w:tblLook w:val="04A0" w:firstRow="1" w:lastRow="0" w:firstColumn="1" w:lastColumn="0" w:noHBand="0" w:noVBand="1"/>
      </w:tblPr>
      <w:tblGrid>
        <w:gridCol w:w="3046"/>
        <w:gridCol w:w="1029"/>
        <w:gridCol w:w="929"/>
        <w:gridCol w:w="1329"/>
        <w:gridCol w:w="544"/>
        <w:gridCol w:w="991"/>
        <w:gridCol w:w="1000"/>
        <w:gridCol w:w="1017"/>
      </w:tblGrid>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Khoản mục</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Nhà cửa, vật kiến trúc</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Máy móc, thiết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bị</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Phương tiện vận tải, truyền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dẫn</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TSCĐ hữu hình khác</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Tài sản cố định vô</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hình</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Tổng cộng</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Nguyên giá TSCĐ thuê tài chính</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đầu năm</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Thuê tài chính trong năm</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Mua lại TSCĐ thuê tài chính</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khác</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Trả lại TSCĐ thuê tài chính</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khác</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cuối năm</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Giá trị hao mòn lũy kế</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đầu năm</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Khấu hao trong năm</w:t>
            </w:r>
          </w:p>
          <w:p w:rsidR="00954A4A" w:rsidRDefault="00954A4A">
            <w:pPr>
              <w:pStyle w:val="NormalWeb"/>
              <w:spacing w:before="0" w:beforeAutospacing="0" w:after="0" w:afterAutospacing="0" w:line="345" w:lineRule="atLeast"/>
              <w:ind w:left="7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Mua lại TSCĐ thuê tài chính</w:t>
            </w:r>
          </w:p>
          <w:p w:rsidR="00954A4A" w:rsidRDefault="00954A4A">
            <w:pPr>
              <w:pStyle w:val="NormalWeb"/>
              <w:spacing w:before="0" w:beforeAutospacing="0" w:after="0" w:afterAutospacing="0" w:line="345" w:lineRule="atLeast"/>
              <w:ind w:left="7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khác</w:t>
            </w:r>
          </w:p>
          <w:p w:rsidR="00954A4A" w:rsidRDefault="00954A4A">
            <w:pPr>
              <w:pStyle w:val="NormalWeb"/>
              <w:spacing w:before="0" w:beforeAutospacing="0" w:after="0" w:afterAutospacing="0" w:line="345" w:lineRule="atLeast"/>
              <w:ind w:left="7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Trả lại TSCĐ thuê tài chính</w:t>
            </w:r>
          </w:p>
          <w:p w:rsidR="00954A4A" w:rsidRDefault="00954A4A">
            <w:pPr>
              <w:pStyle w:val="NormalWeb"/>
              <w:spacing w:before="0" w:beforeAutospacing="0" w:after="0" w:afterAutospacing="0" w:line="345" w:lineRule="atLeast"/>
              <w:ind w:left="7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khác</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cuối năm</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Giá trị còn lại của TSCĐ thuê tài chính</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1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Tại ngày đầu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Tại ngày cuối năm         </w:t>
            </w:r>
          </w:p>
        </w:tc>
        <w:tc>
          <w:tcPr>
            <w:tcW w:w="10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bl>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Style w:val="Emphasis"/>
          <w:rFonts w:ascii="inherit" w:hAnsi="inherit" w:cs="Arial"/>
          <w:color w:val="000000"/>
          <w:sz w:val="21"/>
          <w:szCs w:val="21"/>
          <w:bdr w:val="none" w:sz="0" w:space="0" w:color="auto" w:frame="1"/>
        </w:rPr>
        <w:t>* Tiền thuê phát sinh thêm được ghi nhận là chi phí trong năm:</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 Căn cứ để xác định tiền thuê phát sinh thêm:</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 Điều khoản gia hạn thuê hoặc quyền được mua tài sản: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10- Tăng, giảm tài sản cố định vô hình:  </w:t>
      </w:r>
    </w:p>
    <w:tbl>
      <w:tblPr>
        <w:tblW w:w="9885" w:type="dxa"/>
        <w:shd w:val="clear" w:color="auto" w:fill="FFFFFF"/>
        <w:tblCellMar>
          <w:left w:w="0" w:type="dxa"/>
          <w:right w:w="0" w:type="dxa"/>
        </w:tblCellMar>
        <w:tblLook w:val="04A0" w:firstRow="1" w:lastRow="0" w:firstColumn="1" w:lastColumn="0" w:noHBand="0" w:noVBand="1"/>
      </w:tblPr>
      <w:tblGrid>
        <w:gridCol w:w="3301"/>
        <w:gridCol w:w="1205"/>
        <w:gridCol w:w="1292"/>
        <w:gridCol w:w="1378"/>
        <w:gridCol w:w="779"/>
        <w:gridCol w:w="1060"/>
        <w:gridCol w:w="870"/>
      </w:tblGrid>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Khoản mục</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Quyền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sử dụng đất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Quyền phát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hành</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Bản quyền, bằng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sáng chế</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TSCĐ vô hình khác</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Tổng cộng</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Nguyên giá TSCĐ vô hình</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đầu năm</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Mua trong năm</w:t>
            </w:r>
          </w:p>
          <w:p w:rsidR="00954A4A" w:rsidRDefault="00954A4A">
            <w:pPr>
              <w:pStyle w:val="NormalWeb"/>
              <w:spacing w:before="0" w:beforeAutospacing="0" w:after="0" w:afterAutospacing="0" w:line="345" w:lineRule="atLeast"/>
              <w:ind w:left="214"/>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Tạo ra từ nội bộ doanh nghiệp</w:t>
            </w:r>
          </w:p>
          <w:p w:rsidR="00954A4A" w:rsidRDefault="00954A4A">
            <w:pPr>
              <w:pStyle w:val="NormalWeb"/>
              <w:spacing w:before="0" w:beforeAutospacing="0" w:after="0" w:afterAutospacing="0" w:line="345" w:lineRule="atLeast"/>
              <w:ind w:left="214"/>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do hợp nhất kinh doanh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Thanh lý, nhượng bán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khác</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cuối năm</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Giá trị hao mòn lũy kế</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ind w:left="-1998"/>
              <w:textAlignment w:val="baseline"/>
              <w:rPr>
                <w:rFonts w:ascii="inherit" w:hAnsi="inherit" w:cs="Arial"/>
                <w:color w:val="000000"/>
                <w:sz w:val="21"/>
                <w:szCs w:val="21"/>
              </w:rPr>
            </w:pPr>
            <w:r>
              <w:rPr>
                <w:rFonts w:ascii="inherit" w:hAnsi="inherit" w:cs="Arial"/>
                <w:color w:val="000000"/>
                <w:sz w:val="21"/>
                <w:szCs w:val="21"/>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đầu năm</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Khấu hao trong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Thanh lý, nhượng bán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khác</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 dư cuối năm</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14"/>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Giá trị còn lại của TSCĐ vô hình</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Tại ngày đầu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Tại ngày cuối năm          </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7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bl>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Style w:val="Emphasis"/>
          <w:rFonts w:ascii="inherit" w:hAnsi="inherit" w:cs="Arial"/>
          <w:color w:val="000000"/>
          <w:sz w:val="21"/>
          <w:szCs w:val="21"/>
          <w:bdr w:val="none" w:sz="0" w:space="0" w:color="auto" w:frame="1"/>
        </w:rPr>
        <w:t>* Thuyết minh số liệu và giải trình khác:</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w:t>
      </w:r>
    </w:p>
    <w:tbl>
      <w:tblPr>
        <w:tblpPr w:leftFromText="60" w:rightFromText="60" w:vertAnchor="text"/>
        <w:tblW w:w="9885" w:type="dxa"/>
        <w:shd w:val="clear" w:color="auto" w:fill="FFFFFF"/>
        <w:tblCellMar>
          <w:left w:w="0" w:type="dxa"/>
          <w:right w:w="0" w:type="dxa"/>
        </w:tblCellMar>
        <w:tblLook w:val="04A0" w:firstRow="1" w:lastRow="0" w:firstColumn="1" w:lastColumn="0" w:noHBand="0" w:noVBand="1"/>
      </w:tblPr>
      <w:tblGrid>
        <w:gridCol w:w="6625"/>
        <w:gridCol w:w="1509"/>
        <w:gridCol w:w="1751"/>
      </w:tblGrid>
      <w:tr w:rsidR="00954A4A" w:rsidTr="00954A4A">
        <w:tc>
          <w:tcPr>
            <w:tcW w:w="65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11- Chi phí xây dựng cơ bản dở dang:</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c>
          <w:tcPr>
            <w:tcW w:w="65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Tổng số chi phí XDCB dở dang:</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r>
      <w:tr w:rsidR="00954A4A" w:rsidTr="00954A4A">
        <w:tc>
          <w:tcPr>
            <w:tcW w:w="65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Trong đó (Những công trình lớn):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Công trình…………..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Công trình…………..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w:t>
            </w:r>
          </w:p>
        </w:tc>
        <w:tc>
          <w:tcPr>
            <w:tcW w:w="1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12- Tăng, giảm bất động sản đầu tư:</w:t>
      </w:r>
    </w:p>
    <w:tbl>
      <w:tblPr>
        <w:tblW w:w="9885" w:type="dxa"/>
        <w:shd w:val="clear" w:color="auto" w:fill="FFFFFF"/>
        <w:tblCellMar>
          <w:left w:w="0" w:type="dxa"/>
          <w:right w:w="0" w:type="dxa"/>
        </w:tblCellMar>
        <w:tblLook w:val="04A0" w:firstRow="1" w:lastRow="0" w:firstColumn="1" w:lastColumn="0" w:noHBand="0" w:noVBand="1"/>
      </w:tblPr>
      <w:tblGrid>
        <w:gridCol w:w="4226"/>
        <w:gridCol w:w="1190"/>
        <w:gridCol w:w="1571"/>
        <w:gridCol w:w="1495"/>
        <w:gridCol w:w="1403"/>
      </w:tblGrid>
      <w:tr w:rsidR="00954A4A" w:rsidTr="00954A4A">
        <w:trPr>
          <w:trHeight w:val="94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Khoản mục</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Tăng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trong năm</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Giảm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trong năm</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Số</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r>
      <w:tr w:rsidR="00954A4A" w:rsidTr="00954A4A">
        <w:trPr>
          <w:trHeight w:val="52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Nguyên giá bất động sản đầu tư</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trHeight w:val="1740"/>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Quyền sử dụng đất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Nhà</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Nhà và quyền sử dụng đất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Cơ sở hạ tầng</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trHeight w:val="52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Giá trị hao mòn lũy kế</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trHeight w:val="1740"/>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Quyền sử dụng đất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Nhà</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Nhà và quyền sử dụng đất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Cơ sở hạ tầng</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trHeight w:val="52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Giá trị còn lại của bất động sản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đầu tư</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trHeight w:val="1755"/>
        </w:trPr>
        <w:tc>
          <w:tcPr>
            <w:tcW w:w="41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Quyền sử dụng đất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Nhà</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Nhà và quyền sử dụng đất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Cơ sở hạ tầng</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bl>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Style w:val="Emphasis"/>
          <w:rFonts w:ascii="inherit" w:hAnsi="inherit" w:cs="Arial"/>
          <w:color w:val="000000"/>
          <w:sz w:val="21"/>
          <w:szCs w:val="21"/>
          <w:bdr w:val="none" w:sz="0" w:space="0" w:color="auto" w:frame="1"/>
        </w:rPr>
        <w:t>* Thuyết minh số liệu và giải trình khác:</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w:t>
      </w:r>
    </w:p>
    <w:tbl>
      <w:tblPr>
        <w:tblW w:w="9885" w:type="dxa"/>
        <w:jc w:val="center"/>
        <w:shd w:val="clear" w:color="auto" w:fill="FFFFFF"/>
        <w:tblCellMar>
          <w:left w:w="0" w:type="dxa"/>
          <w:right w:w="0" w:type="dxa"/>
        </w:tblCellMar>
        <w:tblLook w:val="04A0" w:firstRow="1" w:lastRow="0" w:firstColumn="1" w:lastColumn="0" w:noHBand="0" w:noVBand="1"/>
      </w:tblPr>
      <w:tblGrid>
        <w:gridCol w:w="7386"/>
        <w:gridCol w:w="1307"/>
        <w:gridCol w:w="1192"/>
      </w:tblGrid>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35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13- Đầu tư dài hạn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Đầu tư cổ phiếu</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Đầu tư trái phiếu</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Đầu tư tín phiếu, kỳ phiếu</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Cho vay dài hạn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Đầu tư dài hạn khác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4"/>
              <w:textAlignment w:val="baseline"/>
              <w:rPr>
                <w:rFonts w:ascii="inherit" w:hAnsi="inherit" w:cs="Arial"/>
                <w:color w:val="000000"/>
                <w:sz w:val="21"/>
                <w:szCs w:val="21"/>
              </w:rPr>
            </w:pPr>
            <w:r>
              <w:rPr>
                <w:rFonts w:ascii="inherit" w:hAnsi="inherit" w:cs="Arial"/>
                <w:color w:val="000000"/>
                <w:sz w:val="21"/>
                <w:szCs w:val="21"/>
                <w:bdr w:val="none" w:sz="0" w:space="0" w:color="auto" w:frame="1"/>
              </w:rPr>
              <w:t>14- Chi phí trả trước dài hạn</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trả trước về thuê hoạt động TSCĐ</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thành lập doanh nghiệp</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nghiên cứu có giá trị lớn</w:t>
            </w:r>
          </w:p>
          <w:p w:rsidR="00954A4A" w:rsidRDefault="00954A4A">
            <w:pPr>
              <w:pStyle w:val="NormalWeb"/>
              <w:spacing w:before="0" w:beforeAutospacing="0" w:after="0" w:afterAutospacing="0" w:line="345" w:lineRule="atLeast"/>
              <w:ind w:left="61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cho giai đoạn triển khai không đủ tiêu chuẩn ghi nhận là TSCĐ vô hình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15- Vay và nợ ngắn hạn</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Vay ngắn hạn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Nợ dài hạn đến hạn trả</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16- Thuế và các khoản phải nộp nhà nước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giá trị gia tăng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tiêu thụ đặc biệt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xuất, nhập khẩu</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thu nhập doanh nghiệp</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thu nhập cá nhân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tài nguyên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nhà đất và tiền thuê đất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Các loại thuế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Các khoản phí, lệ phí và các khoản phải nộp khác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17- Chi phí phải trả</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Trích trước chi phí tiền lương trong thời gian nghỉ phép</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sửa chữa lớn TSCĐ</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trong thời gian ngừng kinh doanh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r>
      <w:tr w:rsidR="00954A4A" w:rsidTr="00954A4A">
        <w:trPr>
          <w:trHeight w:val="285"/>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85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18- Các khoản phải trả, phải nộp ngắn hạn khác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Tài sản thừa chờ giải quyết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Kinh phí công đoàn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Bảo hiểm xã hội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Bảo hiểm y tế</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Phải trả về cổ phần hoá</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Nhận ký quỹ, ký cược ngắn hạn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Doanh thu chưa thực hiện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Các khoản phải trả, phải nộp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85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19- Phải trả dài hạn nội bộ</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Vay dài hạn nội bộ</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Phải trả dài hạn nội bộ khác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20- Vay và nợ dài hạn</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a - Vay dài hạn</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Vay ngân hàng</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Vay đối tượng khác</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Trái phiếu phát hành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b - Nợ dài hạn</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Thuê tài chính</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Nợ dài hạn khác</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r>
      <w:tr w:rsidR="00954A4A" w:rsidTr="00954A4A">
        <w:trPr>
          <w:jc w:val="center"/>
        </w:trPr>
        <w:tc>
          <w:tcPr>
            <w:tcW w:w="75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c- Các khoản nợ thuê tài chính</w:t>
      </w:r>
    </w:p>
    <w:tbl>
      <w:tblPr>
        <w:tblW w:w="9885" w:type="dxa"/>
        <w:shd w:val="clear" w:color="auto" w:fill="FFFFFF"/>
        <w:tblCellMar>
          <w:left w:w="0" w:type="dxa"/>
          <w:right w:w="0" w:type="dxa"/>
        </w:tblCellMar>
        <w:tblLook w:val="04A0" w:firstRow="1" w:lastRow="0" w:firstColumn="1" w:lastColumn="0" w:noHBand="0" w:noVBand="1"/>
      </w:tblPr>
      <w:tblGrid>
        <w:gridCol w:w="1390"/>
        <w:gridCol w:w="1638"/>
        <w:gridCol w:w="1415"/>
        <w:gridCol w:w="1239"/>
        <w:gridCol w:w="1682"/>
        <w:gridCol w:w="1239"/>
        <w:gridCol w:w="1282"/>
      </w:tblGrid>
      <w:tr w:rsidR="00954A4A" w:rsidTr="00954A4A">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4365" w:type="dxa"/>
            <w:gridSpan w:val="3"/>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4275" w:type="dxa"/>
            <w:gridSpan w:val="3"/>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Thời hạn</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Tổng khoản thanh toán tiền thuê tài chính</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Trả tiền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thuê</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Trả nợ</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gốc</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Tổng khoản thanh toán tiền thuê tài chính</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Trả tiền lãi thuê</w:t>
            </w:r>
          </w:p>
        </w:tc>
        <w:tc>
          <w:tcPr>
            <w:tcW w:w="13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Trả nợ</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gốc</w:t>
            </w:r>
          </w:p>
        </w:tc>
      </w:tr>
      <w:tr w:rsidR="00954A4A" w:rsidTr="00954A4A">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Từ 1 năm trở xuống</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Trên 1 năm đến 5 năm</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Trên 5 năm</w:t>
            </w: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3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bl>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21- Tài sản thuế thu nhập hoãn lại và thuế thu nhập hoãn lại phải trả</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 a- Tài sản thuế thu nhập hoãn lại:</w:t>
      </w:r>
    </w:p>
    <w:tbl>
      <w:tblPr>
        <w:tblW w:w="9885" w:type="dxa"/>
        <w:jc w:val="center"/>
        <w:shd w:val="clear" w:color="auto" w:fill="FFFFFF"/>
        <w:tblCellMar>
          <w:left w:w="0" w:type="dxa"/>
          <w:right w:w="0" w:type="dxa"/>
        </w:tblCellMar>
        <w:tblLook w:val="04A0" w:firstRow="1" w:lastRow="0" w:firstColumn="1" w:lastColumn="0" w:noHBand="0" w:noVBand="1"/>
      </w:tblPr>
      <w:tblGrid>
        <w:gridCol w:w="6964"/>
        <w:gridCol w:w="1520"/>
        <w:gridCol w:w="1401"/>
      </w:tblGrid>
      <w:tr w:rsidR="00954A4A" w:rsidTr="00954A4A">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Tài sản thuế thu nhập hoãn lại liên quan đến</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khoản chênh lệch tạm thời được khấu trừ</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Tài sản thuế thu nhập hoãn lại liên quan đến</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khoản lỗ tính thuế chưa sử dụng</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Tài sản thuế thu nhập hoãn lại liên quan đến</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khoản ưu đãi tính thuế chưa sử dụng</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Khoản hoàn nhập tài sản thuế thu nhập hoãn lại</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đã được ghi nhận từ các năm trước</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70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Tài sản thuế thu nhập hoãn lại</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b- Thuế thu nhập hoãn lại phải trả</w:t>
      </w:r>
    </w:p>
    <w:tbl>
      <w:tblPr>
        <w:tblW w:w="9885" w:type="dxa"/>
        <w:shd w:val="clear" w:color="auto" w:fill="FFFFFF"/>
        <w:tblCellMar>
          <w:left w:w="0" w:type="dxa"/>
          <w:right w:w="0" w:type="dxa"/>
        </w:tblCellMar>
        <w:tblLook w:val="04A0" w:firstRow="1" w:lastRow="0" w:firstColumn="1" w:lastColumn="0" w:noHBand="0" w:noVBand="1"/>
      </w:tblPr>
      <w:tblGrid>
        <w:gridCol w:w="6990"/>
        <w:gridCol w:w="1515"/>
        <w:gridCol w:w="1380"/>
      </w:tblGrid>
      <w:tr w:rsidR="00954A4A" w:rsidTr="00954A4A">
        <w:tc>
          <w:tcPr>
            <w:tcW w:w="69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c>
          <w:tcPr>
            <w:tcW w:w="69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2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thu nhập hoãn lại phải trả phát sinh từ các khoản chênh lệch tạm thời chịu thuế</w:t>
            </w:r>
          </w:p>
          <w:p w:rsidR="00954A4A" w:rsidRDefault="00954A4A">
            <w:pPr>
              <w:pStyle w:val="NormalWeb"/>
              <w:spacing w:before="0" w:beforeAutospacing="0" w:after="0" w:afterAutospacing="0" w:line="345" w:lineRule="atLeast"/>
              <w:ind w:left="22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Khoản hoàn nhập thuế thu nhập hoãn lại phải trả đã được ghi nhận từ các năm trước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Thuế thu nhập hoãn lại phải trả</w:t>
            </w:r>
          </w:p>
        </w:tc>
        <w:tc>
          <w:tcPr>
            <w:tcW w:w="15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bl>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22- Vốn chủ sở hữu</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a- Bảng đối chiếu biến động của vốn chủ sở hữu          </w:t>
      </w:r>
    </w:p>
    <w:tbl>
      <w:tblPr>
        <w:tblW w:w="9885" w:type="dxa"/>
        <w:shd w:val="clear" w:color="auto" w:fill="FFFFFF"/>
        <w:tblCellMar>
          <w:left w:w="0" w:type="dxa"/>
          <w:right w:w="0" w:type="dxa"/>
        </w:tblCellMar>
        <w:tblLook w:val="04A0" w:firstRow="1" w:lastRow="0" w:firstColumn="1" w:lastColumn="0" w:noHBand="0" w:noVBand="1"/>
      </w:tblPr>
      <w:tblGrid>
        <w:gridCol w:w="1926"/>
        <w:gridCol w:w="879"/>
        <w:gridCol w:w="887"/>
        <w:gridCol w:w="880"/>
        <w:gridCol w:w="883"/>
        <w:gridCol w:w="887"/>
        <w:gridCol w:w="887"/>
        <w:gridCol w:w="870"/>
        <w:gridCol w:w="889"/>
        <w:gridCol w:w="897"/>
      </w:tblGrid>
      <w:tr w:rsidR="00954A4A" w:rsidTr="00954A4A">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Vốn đầu tư của chủ sở hữu</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Thặng dư vốn cổ phần</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Vốn khác của chủ sở hữu</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Cổ phiếu quỹ</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Chênh lệch đánh giá lại tài sản</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Chênh lệch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tỷ giá</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hối đoái</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Nguồn vốn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tư XDCB</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Cộng</w:t>
            </w:r>
          </w:p>
        </w:tc>
      </w:tr>
      <w:tr w:rsidR="00954A4A" w:rsidTr="00954A4A">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A</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1</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3</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4</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5</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6</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7</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8</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9</w:t>
            </w:r>
          </w:p>
        </w:tc>
      </w:tr>
      <w:tr w:rsidR="00954A4A" w:rsidTr="00954A4A">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Số dư đầu năm trước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vốn trong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năm trước</w:t>
            </w:r>
          </w:p>
          <w:p w:rsidR="00954A4A" w:rsidRDefault="00954A4A">
            <w:pPr>
              <w:pStyle w:val="NormalWeb"/>
              <w:spacing w:before="0" w:beforeAutospacing="0" w:after="0" w:afterAutospacing="0" w:line="345" w:lineRule="atLeast"/>
              <w:ind w:left="17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trong</w:t>
            </w:r>
          </w:p>
          <w:p w:rsidR="00954A4A" w:rsidRDefault="00954A4A">
            <w:pPr>
              <w:pStyle w:val="NormalWeb"/>
              <w:spacing w:before="0" w:beforeAutospacing="0" w:after="0" w:afterAutospacing="0" w:line="345" w:lineRule="atLeast"/>
              <w:ind w:left="17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năm trước</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vốn trong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năm trước</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Lỗ trong năm</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trước</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khác</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Số dư cuối năm trước Số dư đầu năm nay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vốn trong</w:t>
            </w:r>
          </w:p>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năm nay</w:t>
            </w:r>
          </w:p>
          <w:p w:rsidR="00954A4A" w:rsidRDefault="00954A4A">
            <w:pPr>
              <w:pStyle w:val="NormalWeb"/>
              <w:spacing w:before="0" w:beforeAutospacing="0" w:after="0" w:afterAutospacing="0" w:line="345" w:lineRule="atLeast"/>
              <w:ind w:left="17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trong năm nay</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Tăng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vốn trong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năm nay</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Lỗ trong năm nay</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Giảm khác</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r w:rsidR="00954A4A" w:rsidTr="00954A4A">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Số dư cuối năm nay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9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bl>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tbl>
      <w:tblPr>
        <w:tblW w:w="9885" w:type="dxa"/>
        <w:shd w:val="clear" w:color="auto" w:fill="FFFFFF"/>
        <w:tblCellMar>
          <w:left w:w="0" w:type="dxa"/>
          <w:right w:w="0" w:type="dxa"/>
        </w:tblCellMar>
        <w:tblLook w:val="04A0" w:firstRow="1" w:lastRow="0" w:firstColumn="1" w:lastColumn="0" w:noHBand="0" w:noVBand="1"/>
      </w:tblPr>
      <w:tblGrid>
        <w:gridCol w:w="6957"/>
        <w:gridCol w:w="1464"/>
        <w:gridCol w:w="1464"/>
      </w:tblGrid>
      <w:tr w:rsidR="00954A4A" w:rsidTr="00954A4A">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b- Chi tiết vốn đầu tư của chủ sở hữu</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18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Vốn góp của Nhà nước</w:t>
            </w:r>
          </w:p>
          <w:p w:rsidR="00954A4A" w:rsidRDefault="00954A4A">
            <w:pPr>
              <w:pStyle w:val="NormalWeb"/>
              <w:spacing w:before="0" w:beforeAutospacing="0" w:after="0" w:afterAutospacing="0" w:line="345" w:lineRule="atLeast"/>
              <w:ind w:left="18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Vốn góp của các đối tượng khác</w:t>
            </w:r>
          </w:p>
          <w:p w:rsidR="00954A4A" w:rsidRDefault="00954A4A">
            <w:pPr>
              <w:pStyle w:val="NormalWeb"/>
              <w:spacing w:before="0" w:beforeAutospacing="0" w:after="0" w:afterAutospacing="0" w:line="345" w:lineRule="atLeast"/>
              <w:ind w:left="18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bl>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 Giá trị trái phiếu đã chuyển thành cổ phiếu trong năm</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 Số lượng cổ phiếu quỹ:</w:t>
      </w:r>
    </w:p>
    <w:tbl>
      <w:tblPr>
        <w:tblW w:w="9885" w:type="dxa"/>
        <w:shd w:val="clear" w:color="auto" w:fill="FFFFFF"/>
        <w:tblCellMar>
          <w:left w:w="0" w:type="dxa"/>
          <w:right w:w="0" w:type="dxa"/>
        </w:tblCellMar>
        <w:tblLook w:val="04A0" w:firstRow="1" w:lastRow="0" w:firstColumn="1" w:lastColumn="0" w:noHBand="0" w:noVBand="1"/>
      </w:tblPr>
      <w:tblGrid>
        <w:gridCol w:w="6957"/>
        <w:gridCol w:w="1464"/>
        <w:gridCol w:w="1464"/>
      </w:tblGrid>
      <w:tr w:rsidR="00954A4A" w:rsidTr="00954A4A">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60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 Các giao dịch về vốn với các chủ sở hữu và phân phối cổ tức, chia lợi nhuận</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c>
          <w:tcPr>
            <w:tcW w:w="68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Vốn đầu tư của chủ sở hữu</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Vốn góp đầu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Vốn góp tăng trong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Vốn góp giảm trong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Vốn góp cuối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Cổ tức, lợi nhuận đã chia</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bl>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d- Cổ tức</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      - Cổ tức đã công bố sau ngày kết thúc kỳ kế toán năm:</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        + Cổ tức đã công bố trên cổ phiếu phổ thông:.................</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        + Cổ tức đã công bố trên cổ phiếu ưu đãi:..................</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       - Cổ tức của cổ phiếu ưu đãi lũy kế chưa được ghi nhận:.......</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đ- Cổ phiếu</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Số lượng cổ phiếu đăng ký phát hành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Số lượng cổ phiếu đã bán ra công chúng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Cổ phiếu phổ thông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Cổ phiếu ưu đãi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Số lượng cổ phiếu được mua lại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Cổ phiếu phổ thông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Cổ phiếu ưu đãi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Số lượng cổ phiếu đang lưu hành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Cổ phiếu phổ thông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Cổ phiếu ưu đãi</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Style w:val="Emphasis"/>
          <w:rFonts w:ascii="inherit" w:hAnsi="inherit" w:cs="Arial"/>
          <w:color w:val="000000"/>
          <w:sz w:val="21"/>
          <w:szCs w:val="21"/>
          <w:bdr w:val="none" w:sz="0" w:space="0" w:color="auto" w:frame="1"/>
        </w:rPr>
        <w:t>* Mệnh giá cổ phiếu đang lưu hành :..............................</w:t>
      </w:r>
    </w:p>
    <w:p w:rsidR="00954A4A" w:rsidRDefault="00954A4A" w:rsidP="00954A4A">
      <w:pPr>
        <w:pStyle w:val="NormalWeb"/>
        <w:shd w:val="clear" w:color="auto" w:fill="FFFFFF"/>
        <w:spacing w:before="0" w:beforeAutospacing="0" w:after="0" w:afterAutospacing="0" w:line="345" w:lineRule="atLeast"/>
        <w:ind w:left="100"/>
        <w:textAlignment w:val="baseline"/>
        <w:rPr>
          <w:rFonts w:ascii="Arial" w:hAnsi="Arial" w:cs="Arial"/>
          <w:color w:val="000000"/>
          <w:sz w:val="21"/>
          <w:szCs w:val="21"/>
        </w:rPr>
      </w:pPr>
      <w:r>
        <w:rPr>
          <w:rFonts w:ascii="inherit" w:hAnsi="inherit" w:cs="Arial"/>
          <w:color w:val="000000"/>
          <w:sz w:val="21"/>
          <w:szCs w:val="21"/>
          <w:bdr w:val="none" w:sz="0" w:space="0" w:color="auto" w:frame="1"/>
        </w:rPr>
        <w:t>e-  Các quỹ của doanh nghiệp:</w:t>
      </w:r>
    </w:p>
    <w:p w:rsidR="00954A4A" w:rsidRDefault="00954A4A" w:rsidP="00954A4A">
      <w:pPr>
        <w:numPr>
          <w:ilvl w:val="0"/>
          <w:numId w:val="17"/>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Quỹ đầu tư phát triển</w:t>
      </w:r>
    </w:p>
    <w:p w:rsidR="00954A4A" w:rsidRDefault="00954A4A" w:rsidP="00954A4A">
      <w:pPr>
        <w:numPr>
          <w:ilvl w:val="0"/>
          <w:numId w:val="17"/>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Quỹ dự phòng tài chính</w:t>
      </w:r>
    </w:p>
    <w:p w:rsidR="00954A4A" w:rsidRDefault="00954A4A" w:rsidP="00954A4A">
      <w:pPr>
        <w:numPr>
          <w:ilvl w:val="0"/>
          <w:numId w:val="17"/>
        </w:numPr>
        <w:shd w:val="clear" w:color="auto" w:fill="FFFFFF"/>
        <w:spacing w:after="0" w:line="240" w:lineRule="auto"/>
        <w:ind w:left="0"/>
        <w:textAlignment w:val="baseline"/>
        <w:rPr>
          <w:rFonts w:ascii="inherit" w:eastAsia="Times New Roman" w:hAnsi="inherit" w:cs="Arial"/>
          <w:color w:val="000000"/>
          <w:sz w:val="21"/>
          <w:szCs w:val="21"/>
        </w:rPr>
      </w:pPr>
      <w:r>
        <w:rPr>
          <w:rFonts w:ascii="inherit" w:eastAsia="Times New Roman" w:hAnsi="inherit" w:cs="Arial"/>
          <w:color w:val="000000"/>
          <w:sz w:val="21"/>
          <w:szCs w:val="21"/>
          <w:bdr w:val="none" w:sz="0" w:space="0" w:color="auto" w:frame="1"/>
        </w:rPr>
        <w:t>Quỹ khác thuộc vốn chủ sở hữu</w:t>
      </w:r>
    </w:p>
    <w:p w:rsidR="00954A4A" w:rsidRDefault="00954A4A" w:rsidP="00954A4A">
      <w:pPr>
        <w:pStyle w:val="NormalWeb"/>
        <w:shd w:val="clear" w:color="auto" w:fill="FFFFFF"/>
        <w:spacing w:before="0" w:beforeAutospacing="0" w:after="0" w:afterAutospacing="0" w:line="345" w:lineRule="atLeast"/>
        <w:ind w:left="100"/>
        <w:textAlignment w:val="baseline"/>
        <w:rPr>
          <w:rFonts w:ascii="Arial" w:eastAsia="Calibri" w:hAnsi="Arial" w:cs="Arial"/>
          <w:color w:val="000000"/>
          <w:sz w:val="21"/>
          <w:szCs w:val="21"/>
        </w:rPr>
      </w:pPr>
      <w:r>
        <w:rPr>
          <w:rFonts w:ascii="inherit" w:hAnsi="inherit" w:cs="Arial"/>
          <w:color w:val="000000"/>
          <w:sz w:val="21"/>
          <w:szCs w:val="21"/>
          <w:bdr w:val="none" w:sz="0" w:space="0" w:color="auto" w:frame="1"/>
        </w:rPr>
        <w:t>* Mục đích trích lập và sử dụng các quỹ của doanh nghiệp</w:t>
      </w:r>
    </w:p>
    <w:p w:rsidR="00954A4A" w:rsidRDefault="00954A4A" w:rsidP="00954A4A">
      <w:pPr>
        <w:pStyle w:val="NormalWeb"/>
        <w:shd w:val="clear" w:color="auto" w:fill="FFFFFF"/>
        <w:spacing w:before="0" w:beforeAutospacing="0" w:after="0" w:afterAutospacing="0" w:line="345" w:lineRule="atLeast"/>
        <w:ind w:left="100"/>
        <w:textAlignment w:val="baseline"/>
        <w:rPr>
          <w:rFonts w:ascii="Arial" w:hAnsi="Arial" w:cs="Arial"/>
          <w:color w:val="000000"/>
          <w:sz w:val="21"/>
          <w:szCs w:val="21"/>
        </w:rPr>
      </w:pPr>
      <w:r>
        <w:rPr>
          <w:rFonts w:ascii="inherit" w:hAnsi="inherit" w:cs="Arial"/>
          <w:color w:val="000000"/>
          <w:sz w:val="21"/>
          <w:szCs w:val="21"/>
          <w:bdr w:val="none" w:sz="0" w:space="0" w:color="auto" w:frame="1"/>
        </w:rPr>
        <w:t>g- Thu nhập và chi phí, lãi hoặc lỗ được ghi nhận trực tiếp vào Vốn chủ sở hữu theo qui định của các chuẩn mực kế toán cụ thể.</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23- Nguồn kinh phí</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Nguồn kinh phí được cấp trong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sự nghiệp</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Nguồn kinh phí còn lại cuối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24- Tài sản thuê ngoài</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Cuối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Đầu năm</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(1)- Giá trị tài sản thuê ngoài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TSCĐ thuê ngoài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Tài sản khác thuê ngoài</w:t>
            </w:r>
          </w:p>
          <w:p w:rsidR="00954A4A" w:rsidRDefault="00954A4A">
            <w:pPr>
              <w:pStyle w:val="NormalWeb"/>
              <w:spacing w:before="0" w:beforeAutospacing="0" w:after="0" w:afterAutospacing="0" w:line="345" w:lineRule="atLeast"/>
              <w:ind w:left="54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 Tổng số tiền thuê tối thiểu trong tương lai của hợp đồng thuê hoạt động tài sản không hủy ngang theo các thời hạn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Từ 1 năm trở xuống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Trên 1 năm đến 5 năm</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Trên 5 năm</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Style w:val="Strong"/>
          <w:rFonts w:ascii="inherit" w:hAnsi="inherit" w:cs="Arial"/>
          <w:color w:val="000000"/>
          <w:sz w:val="21"/>
          <w:szCs w:val="21"/>
          <w:bdr w:val="none" w:sz="0" w:space="0" w:color="auto" w:frame="1"/>
        </w:rPr>
        <w:t>VI. Thông tin bổ sung cho các khoản mục trình bày trong Báo cáo kết quả hoạt động kinh doanh                                   </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b/>
          <w:bCs/>
          <w:color w:val="000000"/>
          <w:sz w:val="21"/>
          <w:szCs w:val="21"/>
          <w:bdr w:val="none" w:sz="0" w:space="0" w:color="auto" w:frame="1"/>
        </w:rPr>
        <w:t>(</w:t>
      </w:r>
      <w:r>
        <w:rPr>
          <w:rStyle w:val="Emphasis"/>
          <w:rFonts w:ascii="inherit" w:hAnsi="inherit" w:cs="Arial"/>
          <w:color w:val="000000"/>
          <w:sz w:val="21"/>
          <w:szCs w:val="21"/>
          <w:bdr w:val="none" w:sz="0" w:space="0" w:color="auto" w:frame="1"/>
        </w:rPr>
        <w:t>Đơn vị tính:.............)</w:t>
      </w:r>
    </w:p>
    <w:tbl>
      <w:tblPr>
        <w:tblW w:w="9885" w:type="dxa"/>
        <w:jc w:val="center"/>
        <w:shd w:val="clear" w:color="auto" w:fill="FFFFFF"/>
        <w:tblCellMar>
          <w:left w:w="0" w:type="dxa"/>
          <w:right w:w="0" w:type="dxa"/>
        </w:tblCellMar>
        <w:tblLook w:val="04A0" w:firstRow="1" w:lastRow="0" w:firstColumn="1" w:lastColumn="0" w:noHBand="0" w:noVBand="1"/>
      </w:tblPr>
      <w:tblGrid>
        <w:gridCol w:w="6906"/>
        <w:gridCol w:w="1474"/>
        <w:gridCol w:w="1505"/>
      </w:tblGrid>
      <w:tr w:rsidR="00954A4A" w:rsidTr="00954A4A">
        <w:trPr>
          <w:jc w:val="center"/>
        </w:trPr>
        <w:tc>
          <w:tcPr>
            <w:tcW w:w="6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rPr>
          <w:jc w:val="center"/>
        </w:trPr>
        <w:tc>
          <w:tcPr>
            <w:tcW w:w="6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25- Tổng doanh thu bán hàng và cung cấp dịch vụ (Mã số 01)</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Trong đó:</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Doanh thu bán hàng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Doanh thu cung cấp dịch vụ</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54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Doanh thu hợp đồng xây dựng (Đối với doanh nghiệp có hoạt động xây lắp)</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Doanh thu của hợp đồng xây dựng được ghi nhận trong kỳ;</w:t>
            </w:r>
          </w:p>
          <w:p w:rsidR="00954A4A" w:rsidRDefault="00954A4A">
            <w:pPr>
              <w:pStyle w:val="NormalWeb"/>
              <w:spacing w:before="0" w:beforeAutospacing="0" w:after="0" w:afterAutospacing="0" w:line="345" w:lineRule="atLeast"/>
              <w:ind w:left="54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Tổng doanh thu luỹ kế của hợp đồng xây dựng được ghi nhận đến thời điểm lập báo cáo tài chính;</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8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26- Các khoản giảm trừ doanh thu (Mã số 02)</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Trong đó:</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Chiết khấu thương mại</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Giảm giá hàng bán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Hàng bán bị trả lại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Thuế GTGT phải nộp (phương pháp trực tiếp)</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Thuế tiêu thụ đặc biệt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Thuế xuất khẩu</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27- Doanh thu thuần về bán hàng và cung cấp dịch vụ (Mã số 10)</w:t>
            </w:r>
          </w:p>
          <w:p w:rsidR="00954A4A" w:rsidRDefault="00954A4A">
            <w:pPr>
              <w:pStyle w:val="NormalWeb"/>
              <w:spacing w:before="0" w:beforeAutospacing="0" w:after="0" w:afterAutospacing="0" w:line="345" w:lineRule="atLeast"/>
              <w:ind w:left="180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Trong đó:  </w:t>
            </w:r>
          </w:p>
          <w:p w:rsidR="00954A4A" w:rsidRDefault="00954A4A">
            <w:pPr>
              <w:pStyle w:val="NormalWeb"/>
              <w:spacing w:before="0" w:beforeAutospacing="0" w:after="0" w:afterAutospacing="0" w:line="345" w:lineRule="atLeast"/>
              <w:ind w:left="180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Doanh thu thuần trao đổi sản phẩm, hàng hóa</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Doanh thu thuần trao đổi dịch vụ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28- Giá vốn hàng bán (Mã số 11)</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Giá vốn của hàng hóa đã bán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Giá vốn của thành phẩm đã bán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Giá vốn của dịch vụ đã cung cấp</w:t>
            </w:r>
          </w:p>
          <w:p w:rsidR="00954A4A" w:rsidRDefault="00954A4A">
            <w:pPr>
              <w:pStyle w:val="NormalWeb"/>
              <w:spacing w:before="0" w:beforeAutospacing="0" w:after="0" w:afterAutospacing="0" w:line="345" w:lineRule="atLeast"/>
              <w:ind w:left="54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Giá trị còn lại, chi phí nhượng bán, thanh lý của</w:t>
            </w:r>
          </w:p>
          <w:p w:rsidR="00954A4A" w:rsidRDefault="00954A4A">
            <w:pPr>
              <w:pStyle w:val="NormalWeb"/>
              <w:spacing w:before="0" w:beforeAutospacing="0" w:after="0" w:afterAutospacing="0" w:line="345" w:lineRule="atLeast"/>
              <w:ind w:left="54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BĐS đầu tư đã bán</w:t>
            </w:r>
          </w:p>
          <w:p w:rsidR="00954A4A" w:rsidRDefault="00954A4A">
            <w:pPr>
              <w:pStyle w:val="NormalWeb"/>
              <w:spacing w:before="0" w:beforeAutospacing="0" w:after="0" w:afterAutospacing="0" w:line="345" w:lineRule="atLeast"/>
              <w:ind w:left="54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kinh doanh Bất động sản đầu tư</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Hao hụt, mất mát hàng tồn kho</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Các khoản chi phí vượt mức bình thường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Dự phòng giảm giá hàng tồn kho</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29 - Doanh thu hoạt động tài chính Mã số 21)</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tiền gửi, tiền cho vay</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đầu tư trái phiếu, kỳ phiếu, tín phiếu</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Cổ tức, lợi nhuận được chia</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bán ngoại tệ</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chênh lệch tỷ giá đã thực hiện</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chênh lệch tỷ giá chưa thực hiện</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bán hàng trả chậm</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Doanh thu hoạt động tài chính khác</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30- Chi phí tài chính (Mã số 22)</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Lãi tiền vay</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Chiết khấu thanh toán, lãi bán hàng trả chậm</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Lỗ do thanh lý các khoản đầu tư ngắn hạn, dài hạn</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Lỗ bán ngoại tệ</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Lỗ chênh lệch tỷ giá đã thực hiện</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Lỗ chênh lệch tỷ giá chưa thực hiện</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Dự phòng giảm giá các khoản đầu tư ngắn hạn, dài hạn</w:t>
            </w:r>
          </w:p>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tài chính khác</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01"/>
        <w:gridCol w:w="1492"/>
        <w:gridCol w:w="1492"/>
      </w:tblGrid>
      <w:tr w:rsidR="00954A4A" w:rsidTr="00954A4A">
        <w:trPr>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31- Chi phí thuế thu nhập doanh nghiệp hiện hành (Mã số 51)</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rPr>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thuế thu nhập doanh nghiệp tính trên thu nhập chịu thuế năm hiện hành</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52"/>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Điều chỉnh chi phí thuế thu nhập doanh nghiệp của các năm   trước vào chi phí thuế thu nhập hiện hành 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6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Tổng chi phí thuế thu nhập doanh nghiệp hiện hành</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tbl>
      <w:tblPr>
        <w:tblW w:w="9885" w:type="dxa"/>
        <w:shd w:val="clear" w:color="auto" w:fill="FFFFFF"/>
        <w:tblCellMar>
          <w:left w:w="0" w:type="dxa"/>
          <w:right w:w="0" w:type="dxa"/>
        </w:tblCellMar>
        <w:tblLook w:val="04A0" w:firstRow="1" w:lastRow="0" w:firstColumn="1" w:lastColumn="0" w:noHBand="0" w:noVBand="1"/>
      </w:tblPr>
      <w:tblGrid>
        <w:gridCol w:w="6891"/>
        <w:gridCol w:w="1497"/>
        <w:gridCol w:w="1497"/>
      </w:tblGrid>
      <w:tr w:rsidR="00954A4A" w:rsidTr="00954A4A">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32- Chi phí thuế thu nhập doanh nghiệp hoãn lại (Mã số 52)</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2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thuế thu nhập doanh nghiệp hoãn lại phát sinh từ các khoản chênh lệch tạm thời phải chịu thuế</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2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Chi phí thuế thu nhập doanh nghiệp hoãn lại phát sinh từ việc hoàn nhập tài sản thuế thu nhập hoãn lại</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2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 nhập thuế thu nhập doanh nghiệp hoãn lại phát sinh từ các khoản chênh lệch tạm thời được khấu trừ</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2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 nhập thuế thu nhập doanh nghiệp hoãn lại phát sinh từ các khoản lỗ tính thuế và ưu đãi thuế chưa sử dụng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226"/>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Thu nhập thuế thu nhập doanh nghiệp hoãn lại phát sinh từ việc hoàn nhập thuế thu nhập hoãn lại phải trả</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c>
          <w:tcPr>
            <w:tcW w:w="66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Tổng chi phí thuế thu nhập doanh nghiệp hoãn lại</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bl>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6933"/>
        <w:gridCol w:w="1476"/>
        <w:gridCol w:w="1476"/>
      </w:tblGrid>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33- Chi phí sản xuất, kinh doanh theo yếu tố</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Chi phí nguyên liệu, vật liệu</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Chi phí nhân công</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Chi phí khấu hao tài sản cố định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Chi phí dịch vụ mua ngoài</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 Chi phí khác bằng tiền</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676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ind w:left="360"/>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                                         Cộng</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Style w:val="Strong"/>
          <w:rFonts w:ascii="inherit" w:hAnsi="inherit" w:cs="Arial"/>
          <w:color w:val="000000"/>
          <w:sz w:val="21"/>
          <w:szCs w:val="21"/>
          <w:bdr w:val="none" w:sz="0" w:space="0" w:color="auto" w:frame="1"/>
        </w:rPr>
        <w:t>VII. Thông tin bổ sung cho các khoản mục trình bày trong</w:t>
      </w:r>
      <w:r>
        <w:rPr>
          <w:rFonts w:ascii="inherit" w:hAnsi="inherit" w:cs="Arial"/>
          <w:color w:val="000000"/>
          <w:sz w:val="21"/>
          <w:szCs w:val="21"/>
          <w:bdr w:val="none" w:sz="0" w:space="0" w:color="auto" w:frame="1"/>
        </w:rPr>
        <w:t> </w:t>
      </w:r>
      <w:r>
        <w:rPr>
          <w:rStyle w:val="Strong"/>
          <w:rFonts w:ascii="inherit" w:hAnsi="inherit" w:cs="Arial"/>
          <w:color w:val="000000"/>
          <w:sz w:val="21"/>
          <w:szCs w:val="21"/>
          <w:bdr w:val="none" w:sz="0" w:space="0" w:color="auto" w:frame="1"/>
        </w:rPr>
        <w:t>Báo cáo lưu chuyển tiền tệ                       (</w:t>
      </w:r>
      <w:r>
        <w:rPr>
          <w:rFonts w:ascii="inherit" w:hAnsi="inherit" w:cs="Arial"/>
          <w:color w:val="000000"/>
          <w:sz w:val="21"/>
          <w:szCs w:val="21"/>
          <w:bdr w:val="none" w:sz="0" w:space="0" w:color="auto" w:frame="1"/>
        </w:rPr>
        <w:t>Đơn vị tính:……………..)</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34. Các giao dịch không bằng tiền ảnh hưởng đến báo cáo lưu chuyển tiền tệ và các khoản tiền do doanh nghiệp nắm giữ nhưng không được sử dụng</w:t>
      </w:r>
    </w:p>
    <w:tbl>
      <w:tblPr>
        <w:tblW w:w="9885" w:type="dxa"/>
        <w:jc w:val="center"/>
        <w:shd w:val="clear" w:color="auto" w:fill="FFFFFF"/>
        <w:tblCellMar>
          <w:left w:w="0" w:type="dxa"/>
          <w:right w:w="0" w:type="dxa"/>
        </w:tblCellMar>
        <w:tblLook w:val="04A0" w:firstRow="1" w:lastRow="0" w:firstColumn="1" w:lastColumn="0" w:noHBand="0" w:noVBand="1"/>
      </w:tblPr>
      <w:tblGrid>
        <w:gridCol w:w="431"/>
        <w:gridCol w:w="6503"/>
        <w:gridCol w:w="1460"/>
        <w:gridCol w:w="1491"/>
      </w:tblGrid>
      <w:tr w:rsidR="00954A4A" w:rsidTr="00954A4A">
        <w:trPr>
          <w:jc w:val="center"/>
        </w:trPr>
        <w:tc>
          <w:tcPr>
            <w:tcW w:w="4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ind w:left="720"/>
              <w:textAlignment w:val="baseline"/>
              <w:rPr>
                <w:rFonts w:ascii="inherit" w:hAnsi="inherit" w:cs="Arial"/>
                <w:color w:val="000000"/>
                <w:sz w:val="21"/>
                <w:szCs w:val="21"/>
              </w:rPr>
            </w:pPr>
            <w:r>
              <w:rPr>
                <w:rFonts w:ascii="inherit" w:hAnsi="inherit" w:cs="Arial"/>
                <w:color w:val="000000"/>
                <w:sz w:val="21"/>
                <w:szCs w:val="21"/>
              </w:rPr>
              <w:t> </w:t>
            </w:r>
          </w:p>
        </w:tc>
        <w:tc>
          <w:tcPr>
            <w:tcW w:w="1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nay</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Năm trước</w:t>
            </w:r>
          </w:p>
        </w:tc>
      </w:tr>
      <w:tr w:rsidR="00954A4A" w:rsidTr="00954A4A">
        <w:trPr>
          <w:jc w:val="center"/>
        </w:trPr>
        <w:tc>
          <w:tcPr>
            <w:tcW w:w="4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a-</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Mua tài sản bằng cách nhận các khoản nợ liên quan trực tiếp hoặc thông qua nghiệp vụ cho thuê tài chính:</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Mua doanh nghiệp thông qua phát hành cổ phiếu:</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Chuyển nợ thành vốn chủ sở hữu:</w:t>
            </w:r>
          </w:p>
        </w:tc>
        <w:tc>
          <w:tcPr>
            <w:tcW w:w="1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4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b-</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Mua và thanh lý công ty con hoặc đơn vị kinh doanh khác trong kỳ báo cáo.</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Tổng giá trị mua hoặc thanh lý;</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Phần giá trị mua hoặc thanh lý được thanh toán bằng tiền và các khoản tương đương tiền;</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Số tiền và các khoản tương đương tiền thực có trong công ty con hoặc đơn vị kinh doanh khác được mua hoặc thanh lý;</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Phần giá trị tài sản (Tổng hợp theo từng loại tài sản) và nợ phải trả không phải là tiền và các khoản tương đương tiền trong công ty con hoặc đơn vị kinh doanh khác được mua hoặc thanh lý  trong kỳ.</w:t>
            </w:r>
          </w:p>
        </w:tc>
        <w:tc>
          <w:tcPr>
            <w:tcW w:w="1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w:t>
            </w:r>
          </w:p>
        </w:tc>
      </w:tr>
      <w:tr w:rsidR="00954A4A" w:rsidTr="00954A4A">
        <w:trPr>
          <w:jc w:val="center"/>
        </w:trPr>
        <w:tc>
          <w:tcPr>
            <w:tcW w:w="4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c-</w:t>
            </w:r>
          </w:p>
        </w:tc>
        <w:tc>
          <w:tcPr>
            <w:tcW w:w="63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c>
          <w:tcPr>
            <w:tcW w:w="1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145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textAlignment w:val="baseline"/>
        <w:rPr>
          <w:rFonts w:ascii="Arial" w:eastAsia="Calibri" w:hAnsi="Arial" w:cs="Arial"/>
          <w:color w:val="000000"/>
          <w:sz w:val="21"/>
          <w:szCs w:val="21"/>
        </w:rPr>
      </w:pPr>
      <w:r>
        <w:rPr>
          <w:rStyle w:val="Strong"/>
          <w:rFonts w:ascii="inherit" w:hAnsi="inherit" w:cs="Arial"/>
          <w:color w:val="000000"/>
          <w:sz w:val="21"/>
          <w:szCs w:val="21"/>
          <w:bdr w:val="none" w:sz="0" w:space="0" w:color="auto" w:frame="1"/>
        </w:rPr>
        <w:t>VIII. Những thông tin khác</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1. Những khoản nợ tiềm tàng, khoản cam kết và những thông tin tài chính khác:...................</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2. Những sự kiện phát sinh sau ngày kết thúc kỳ kế toán năm:............................................</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3. Thông tin về các bên liên quan:.......................................................................................</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4. Trình bày tài sản, doanh thu, kết quả kinh doanh theo bộ phận (theo lĩnh vực kinh doanh hoặc khu vực địa lý) theo quy định của Chuẩn mực kế toán số 28 “Báo cáo bộ phận”(2):............................</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5. Thông tin so sánh (những thay đổi về thông tin trong báo cáo tài chính của các niên độ kế toán trước):.............................................................................................................................</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6. Thông tin về hoạt động liên tục:......................................................................................</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Fonts w:ascii="inherit" w:hAnsi="inherit" w:cs="Arial"/>
          <w:color w:val="000000"/>
          <w:sz w:val="21"/>
          <w:szCs w:val="21"/>
          <w:bdr w:val="none" w:sz="0" w:space="0" w:color="auto" w:frame="1"/>
        </w:rPr>
        <w:t>7. Những thông tin khác. (3)..............................................................................................</w:t>
      </w:r>
    </w:p>
    <w:p w:rsidR="00954A4A" w:rsidRDefault="00954A4A" w:rsidP="00954A4A">
      <w:pPr>
        <w:pStyle w:val="NormalWeb"/>
        <w:shd w:val="clear" w:color="auto" w:fill="FFFFFF"/>
        <w:spacing w:before="0" w:beforeAutospacing="0" w:after="90" w:afterAutospacing="0" w:line="345" w:lineRule="atLeast"/>
        <w:textAlignment w:val="baseline"/>
        <w:rPr>
          <w:rFonts w:ascii="Arial" w:hAnsi="Arial" w:cs="Arial"/>
          <w:color w:val="000000"/>
          <w:sz w:val="21"/>
          <w:szCs w:val="21"/>
        </w:rPr>
      </w:pPr>
      <w:r>
        <w:rPr>
          <w:rFonts w:ascii="Arial" w:hAnsi="Arial" w:cs="Arial"/>
          <w:color w:val="000000"/>
          <w:sz w:val="21"/>
          <w:szCs w:val="21"/>
        </w:rPr>
        <w:t> </w:t>
      </w:r>
    </w:p>
    <w:tbl>
      <w:tblPr>
        <w:tblW w:w="9885" w:type="dxa"/>
        <w:jc w:val="center"/>
        <w:shd w:val="clear" w:color="auto" w:fill="FFFFFF"/>
        <w:tblCellMar>
          <w:left w:w="0" w:type="dxa"/>
          <w:right w:w="0" w:type="dxa"/>
        </w:tblCellMar>
        <w:tblLook w:val="04A0" w:firstRow="1" w:lastRow="0" w:firstColumn="1" w:lastColumn="0" w:noHBand="0" w:noVBand="1"/>
      </w:tblPr>
      <w:tblGrid>
        <w:gridCol w:w="2051"/>
        <w:gridCol w:w="2849"/>
        <w:gridCol w:w="1424"/>
        <w:gridCol w:w="3561"/>
      </w:tblGrid>
      <w:tr w:rsidR="00954A4A" w:rsidTr="00954A4A">
        <w:trPr>
          <w:jc w:val="center"/>
        </w:trPr>
        <w:tc>
          <w:tcPr>
            <w:tcW w:w="20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p>
        </w:tc>
        <w:tc>
          <w:tcPr>
            <w:tcW w:w="28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90" w:afterAutospacing="0" w:line="345" w:lineRule="atLeast"/>
              <w:textAlignment w:val="baseline"/>
              <w:rPr>
                <w:rFonts w:ascii="inherit" w:hAnsi="inherit" w:cs="Arial"/>
                <w:color w:val="000000"/>
                <w:sz w:val="21"/>
                <w:szCs w:val="21"/>
              </w:rPr>
            </w:pPr>
            <w:r>
              <w:rPr>
                <w:rFonts w:ascii="inherit" w:hAnsi="inherit" w:cs="Arial"/>
                <w:color w:val="000000"/>
                <w:sz w:val="21"/>
                <w:szCs w:val="21"/>
              </w:rPr>
              <w:t> </w:t>
            </w:r>
          </w:p>
        </w:tc>
        <w:tc>
          <w:tcPr>
            <w:tcW w:w="5040"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textAlignment w:val="baseline"/>
              <w:rPr>
                <w:rFonts w:ascii="inherit" w:hAnsi="inherit" w:cs="Arial"/>
                <w:color w:val="000000"/>
                <w:sz w:val="21"/>
                <w:szCs w:val="21"/>
              </w:rPr>
            </w:pPr>
            <w:r>
              <w:rPr>
                <w:rStyle w:val="Emphasis"/>
                <w:rFonts w:ascii="inherit" w:hAnsi="inherit" w:cs="Arial"/>
                <w:color w:val="000000"/>
                <w:sz w:val="21"/>
                <w:szCs w:val="21"/>
                <w:bdr w:val="none" w:sz="0" w:space="0" w:color="auto" w:frame="1"/>
              </w:rPr>
              <w:t>                                                           Lập, ngày ... tháng ... năm ......</w:t>
            </w:r>
          </w:p>
        </w:tc>
      </w:tr>
      <w:tr w:rsidR="00954A4A" w:rsidTr="00954A4A">
        <w:trPr>
          <w:jc w:val="center"/>
        </w:trPr>
        <w:tc>
          <w:tcPr>
            <w:tcW w:w="20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Người lập biểu</w:t>
            </w:r>
          </w:p>
        </w:tc>
        <w:tc>
          <w:tcPr>
            <w:tcW w:w="4320"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Kế toán trưởng</w:t>
            </w:r>
          </w:p>
        </w:tc>
        <w:tc>
          <w:tcPr>
            <w:tcW w:w="36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Giám đốc</w:t>
            </w:r>
          </w:p>
        </w:tc>
      </w:tr>
      <w:tr w:rsidR="00954A4A" w:rsidTr="00954A4A">
        <w:trPr>
          <w:jc w:val="center"/>
        </w:trPr>
        <w:tc>
          <w:tcPr>
            <w:tcW w:w="20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Emphasis"/>
                <w:rFonts w:ascii="inherit" w:hAnsi="inherit" w:cs="Arial"/>
                <w:color w:val="000000"/>
                <w:sz w:val="21"/>
                <w:szCs w:val="21"/>
                <w:bdr w:val="none" w:sz="0" w:space="0" w:color="auto" w:frame="1"/>
              </w:rPr>
              <w:t>(Ký, họ tên)</w:t>
            </w:r>
          </w:p>
        </w:tc>
        <w:tc>
          <w:tcPr>
            <w:tcW w:w="4320"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Emphasis"/>
                <w:rFonts w:ascii="inherit" w:hAnsi="inherit" w:cs="Arial"/>
                <w:color w:val="000000"/>
                <w:sz w:val="21"/>
                <w:szCs w:val="21"/>
                <w:bdr w:val="none" w:sz="0" w:space="0" w:color="auto" w:frame="1"/>
              </w:rPr>
              <w:t>(Ký, họ tên)</w:t>
            </w:r>
          </w:p>
        </w:tc>
        <w:tc>
          <w:tcPr>
            <w:tcW w:w="36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pStyle w:val="NormalWeb"/>
              <w:spacing w:before="0" w:beforeAutospacing="0" w:after="0" w:afterAutospacing="0" w:line="345" w:lineRule="atLeast"/>
              <w:jc w:val="center"/>
              <w:textAlignment w:val="baseline"/>
              <w:rPr>
                <w:rFonts w:ascii="inherit" w:hAnsi="inherit" w:cs="Arial"/>
                <w:color w:val="000000"/>
                <w:sz w:val="21"/>
                <w:szCs w:val="21"/>
              </w:rPr>
            </w:pPr>
            <w:r>
              <w:rPr>
                <w:rStyle w:val="Emphasis"/>
                <w:rFonts w:ascii="inherit" w:hAnsi="inherit" w:cs="Arial"/>
                <w:color w:val="000000"/>
                <w:sz w:val="21"/>
                <w:szCs w:val="21"/>
                <w:bdr w:val="none" w:sz="0" w:space="0" w:color="auto" w:frame="1"/>
              </w:rPr>
              <w:t>(Ký, họ tên, đóng dấu)</w:t>
            </w:r>
          </w:p>
        </w:tc>
      </w:tr>
      <w:tr w:rsidR="00954A4A" w:rsidTr="00954A4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rPr>
                <w:rFonts w:ascii="inherit" w:eastAsia="Times New Roman" w:hAnsi="inherit" w:cs="Arial"/>
                <w:color w:val="000000"/>
                <w:sz w:val="21"/>
                <w:szCs w:val="21"/>
              </w:rPr>
            </w:pPr>
            <w:r>
              <w:rPr>
                <w:rFonts w:ascii="inherit" w:eastAsia="Times New Roman" w:hAnsi="inherit" w:cs="Arial"/>
                <w:color w:val="000000"/>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rPr>
                <w:rFonts w:ascii="inherit" w:eastAsia="Times New Roman" w:hAnsi="inherit" w:cs="Arial"/>
                <w:color w:val="000000"/>
                <w:sz w:val="21"/>
                <w:szCs w:val="21"/>
              </w:rPr>
            </w:pPr>
            <w:r>
              <w:rPr>
                <w:rFonts w:ascii="inherit" w:eastAsia="Times New Roman" w:hAnsi="inherit" w:cs="Arial"/>
                <w:color w:val="000000"/>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rPr>
                <w:rFonts w:ascii="inherit" w:eastAsia="Times New Roman" w:hAnsi="inherit" w:cs="Arial"/>
                <w:color w:val="000000"/>
                <w:sz w:val="21"/>
                <w:szCs w:val="21"/>
              </w:rPr>
            </w:pPr>
            <w:r>
              <w:rPr>
                <w:rFonts w:ascii="inherit" w:eastAsia="Times New Roman" w:hAnsi="inherit" w:cs="Arial"/>
                <w:color w:val="000000"/>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54A4A" w:rsidRDefault="00954A4A">
            <w:pPr>
              <w:rPr>
                <w:rFonts w:ascii="inherit" w:eastAsia="Times New Roman" w:hAnsi="inherit" w:cs="Arial"/>
                <w:color w:val="000000"/>
                <w:sz w:val="21"/>
                <w:szCs w:val="21"/>
              </w:rPr>
            </w:pPr>
            <w:r>
              <w:rPr>
                <w:rFonts w:ascii="inherit" w:eastAsia="Times New Roman" w:hAnsi="inherit" w:cs="Arial"/>
                <w:color w:val="000000"/>
                <w:sz w:val="21"/>
                <w:szCs w:val="21"/>
              </w:rPr>
              <w:t> </w:t>
            </w:r>
          </w:p>
        </w:tc>
      </w:tr>
    </w:tbl>
    <w:p w:rsidR="00954A4A" w:rsidRDefault="00954A4A" w:rsidP="00954A4A">
      <w:pPr>
        <w:shd w:val="clear" w:color="auto" w:fill="FFFFFF"/>
        <w:textAlignment w:val="baseline"/>
        <w:rPr>
          <w:rFonts w:ascii="Arial" w:eastAsia="Times New Roman" w:hAnsi="Arial" w:cs="Arial"/>
          <w:color w:val="000000"/>
          <w:sz w:val="21"/>
          <w:szCs w:val="21"/>
        </w:rPr>
      </w:pPr>
      <w:r>
        <w:rPr>
          <w:rFonts w:ascii="Arial" w:eastAsia="Times New Roman" w:hAnsi="Arial" w:cs="Arial"/>
          <w:color w:val="000000"/>
          <w:sz w:val="21"/>
          <w:szCs w:val="21"/>
        </w:rPr>
        <w:t> </w:t>
      </w:r>
    </w:p>
    <w:p w:rsidR="00954A4A" w:rsidRDefault="00954A4A" w:rsidP="00954A4A">
      <w:pPr>
        <w:pStyle w:val="NormalWeb"/>
        <w:shd w:val="clear" w:color="auto" w:fill="FFFFFF"/>
        <w:spacing w:before="0" w:beforeAutospacing="0" w:after="90" w:afterAutospacing="0" w:line="345" w:lineRule="atLeast"/>
        <w:textAlignment w:val="baseline"/>
        <w:rPr>
          <w:rFonts w:ascii="Arial" w:eastAsia="Calibri" w:hAnsi="Arial" w:cs="Arial"/>
          <w:color w:val="000000"/>
          <w:sz w:val="21"/>
          <w:szCs w:val="21"/>
        </w:rPr>
      </w:pPr>
      <w:r>
        <w:rPr>
          <w:rFonts w:ascii="Arial" w:hAnsi="Arial" w:cs="Arial"/>
          <w:color w:val="000000"/>
          <w:sz w:val="21"/>
          <w:szCs w:val="21"/>
        </w:rPr>
        <w:t> </w:t>
      </w:r>
    </w:p>
    <w:p w:rsidR="00954A4A" w:rsidRDefault="00954A4A" w:rsidP="00954A4A">
      <w:pPr>
        <w:pStyle w:val="NormalWeb"/>
        <w:shd w:val="clear" w:color="auto" w:fill="FFFFFF"/>
        <w:spacing w:before="0" w:beforeAutospacing="0" w:after="0" w:afterAutospacing="0" w:line="345" w:lineRule="atLeast"/>
        <w:ind w:left="360"/>
        <w:textAlignment w:val="baseline"/>
        <w:rPr>
          <w:rFonts w:ascii="Arial" w:hAnsi="Arial" w:cs="Arial"/>
          <w:color w:val="000000"/>
          <w:sz w:val="21"/>
          <w:szCs w:val="21"/>
        </w:rPr>
      </w:pPr>
      <w:r>
        <w:rPr>
          <w:rStyle w:val="Emphasis"/>
          <w:rFonts w:ascii="inherit" w:hAnsi="inherit" w:cs="Arial"/>
          <w:b/>
          <w:bCs/>
          <w:color w:val="000000"/>
          <w:sz w:val="21"/>
          <w:szCs w:val="21"/>
          <w:bdr w:val="none" w:sz="0" w:space="0" w:color="auto" w:frame="1"/>
        </w:rPr>
        <w:t>Ghi chú:</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(1) Những chỉ tiêu không có thông tin, số liệu thì không phải trình bày nhưng không được đánh</w:t>
      </w:r>
      <w:r>
        <w:rPr>
          <w:rFonts w:ascii="inherit" w:hAnsi="inherit" w:cs="Arial"/>
          <w:color w:val="000000"/>
          <w:sz w:val="21"/>
          <w:szCs w:val="21"/>
          <w:bdr w:val="none" w:sz="0" w:space="0" w:color="auto" w:frame="1"/>
        </w:rPr>
        <w:t> </w:t>
      </w:r>
      <w:r>
        <w:rPr>
          <w:rStyle w:val="Emphasis"/>
          <w:rFonts w:ascii="inherit" w:hAnsi="inherit" w:cs="Arial"/>
          <w:color w:val="000000"/>
          <w:sz w:val="21"/>
          <w:szCs w:val="21"/>
          <w:bdr w:val="none" w:sz="0" w:space="0" w:color="auto" w:frame="1"/>
        </w:rPr>
        <w:t>lại số thứ tự chỉ tiêu.</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(2) Chỉ áp dụng cho công ty niêm yết.</w:t>
      </w:r>
    </w:p>
    <w:p w:rsidR="00954A4A" w:rsidRDefault="00954A4A" w:rsidP="00954A4A">
      <w:pPr>
        <w:pStyle w:val="NormalWeb"/>
        <w:shd w:val="clear" w:color="auto" w:fill="FFFFFF"/>
        <w:spacing w:before="0" w:beforeAutospacing="0" w:after="0" w:afterAutospacing="0" w:line="345" w:lineRule="atLeast"/>
        <w:textAlignment w:val="baseline"/>
        <w:rPr>
          <w:rFonts w:ascii="Arial" w:hAnsi="Arial" w:cs="Arial"/>
          <w:color w:val="000000"/>
          <w:sz w:val="21"/>
          <w:szCs w:val="21"/>
        </w:rPr>
      </w:pPr>
      <w:r>
        <w:rPr>
          <w:rStyle w:val="Emphasis"/>
          <w:rFonts w:ascii="inherit" w:hAnsi="inherit" w:cs="Arial"/>
          <w:color w:val="000000"/>
          <w:sz w:val="21"/>
          <w:szCs w:val="21"/>
          <w:bdr w:val="none" w:sz="0" w:space="0" w:color="auto" w:frame="1"/>
        </w:rPr>
        <w:t>(3) Doanh nghiệp được trình bày thêm các thông tin khác xét thấy cần thiết cho người sử dụng báo cáo tài chính.</w:t>
      </w:r>
    </w:p>
    <w:p w:rsidR="00266947" w:rsidRPr="00954A4A" w:rsidRDefault="00266947" w:rsidP="00954A4A"/>
    <w:sectPr w:rsidR="00266947" w:rsidRPr="00954A4A"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A29" w:rsidRDefault="001C1A29" w:rsidP="007446EA">
      <w:pPr>
        <w:spacing w:after="0" w:line="240" w:lineRule="auto"/>
      </w:pPr>
      <w:r>
        <w:separator/>
      </w:r>
    </w:p>
  </w:endnote>
  <w:endnote w:type="continuationSeparator" w:id="0">
    <w:p w:rsidR="001C1A29" w:rsidRDefault="001C1A2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9C" w:rsidRDefault="002D4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C959FE" w:rsidRDefault="00C959FE" w:rsidP="00C959FE">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9C" w:rsidRDefault="002D4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A29" w:rsidRDefault="001C1A29" w:rsidP="007446EA">
      <w:pPr>
        <w:spacing w:after="0" w:line="240" w:lineRule="auto"/>
      </w:pPr>
      <w:r>
        <w:separator/>
      </w:r>
    </w:p>
  </w:footnote>
  <w:footnote w:type="continuationSeparator" w:id="0">
    <w:p w:rsidR="001C1A29" w:rsidRDefault="001C1A29"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9C" w:rsidRDefault="002D4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C959FE" w:rsidRDefault="00C959FE" w:rsidP="00C959FE">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9C" w:rsidRDefault="002D4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FD800"/>
    <w:multiLevelType w:val="singleLevel"/>
    <w:tmpl w:val="550FD800"/>
    <w:lvl w:ilvl="0">
      <w:start w:val="1"/>
      <w:numFmt w:val="decimal"/>
      <w:suff w:val="space"/>
      <w:lvlText w:val="%1."/>
      <w:lvlJc w:val="left"/>
    </w:lvl>
  </w:abstractNum>
  <w:abstractNum w:abstractNumId="6">
    <w:nsid w:val="550FD80E"/>
    <w:multiLevelType w:val="singleLevel"/>
    <w:tmpl w:val="550FD80E"/>
    <w:lvl w:ilvl="0">
      <w:start w:val="2"/>
      <w:numFmt w:val="decimal"/>
      <w:suff w:val="space"/>
      <w:lvlText w:val="%1."/>
      <w:lvlJc w:val="left"/>
    </w:lvl>
  </w:abstractNum>
  <w:abstractNum w:abstractNumId="7">
    <w:nsid w:val="550FD885"/>
    <w:multiLevelType w:val="singleLevel"/>
    <w:tmpl w:val="550FD885"/>
    <w:lvl w:ilvl="0">
      <w:start w:val="1"/>
      <w:numFmt w:val="decimal"/>
      <w:suff w:val="space"/>
      <w:lvlText w:val="%1."/>
      <w:lvlJc w:val="left"/>
    </w:lvl>
  </w:abstractNum>
  <w:abstractNum w:abstractNumId="8">
    <w:nsid w:val="550FD89C"/>
    <w:multiLevelType w:val="singleLevel"/>
    <w:tmpl w:val="550FD89C"/>
    <w:lvl w:ilvl="0">
      <w:start w:val="1"/>
      <w:numFmt w:val="decimal"/>
      <w:suff w:val="space"/>
      <w:lvlText w:val="%1."/>
      <w:lvlJc w:val="left"/>
    </w:lvl>
  </w:abstractNum>
  <w:abstractNum w:abstractNumId="9">
    <w:nsid w:val="550FD8B7"/>
    <w:multiLevelType w:val="singleLevel"/>
    <w:tmpl w:val="550FD8B7"/>
    <w:lvl w:ilvl="0">
      <w:start w:val="1"/>
      <w:numFmt w:val="decimal"/>
      <w:suff w:val="space"/>
      <w:lvlText w:val="%1."/>
      <w:lvlJc w:val="left"/>
    </w:lvl>
  </w:abstractNum>
  <w:abstractNum w:abstractNumId="10">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11">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12">
    <w:nsid w:val="550FDC41"/>
    <w:multiLevelType w:val="singleLevel"/>
    <w:tmpl w:val="550FDC41"/>
    <w:lvl w:ilvl="0">
      <w:start w:val="1"/>
      <w:numFmt w:val="decimal"/>
      <w:suff w:val="space"/>
      <w:lvlText w:val="%1."/>
      <w:lvlJc w:val="left"/>
    </w:lvl>
  </w:abstractNum>
  <w:abstractNum w:abstractNumId="13">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4"/>
  </w:num>
  <w:num w:numId="11">
    <w:abstractNumId w:val="2"/>
  </w:num>
  <w:num w:numId="12">
    <w:abstractNumId w:val="15"/>
  </w:num>
  <w:num w:numId="13">
    <w:abstractNumId w:val="16"/>
  </w:num>
  <w:num w:numId="14">
    <w:abstractNumId w:val="14"/>
  </w:num>
  <w:num w:numId="15">
    <w:abstractNumId w:val="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97E4F"/>
    <w:rsid w:val="001C1A29"/>
    <w:rsid w:val="00266947"/>
    <w:rsid w:val="00276A35"/>
    <w:rsid w:val="002C392D"/>
    <w:rsid w:val="002C6432"/>
    <w:rsid w:val="002D409C"/>
    <w:rsid w:val="003C01DF"/>
    <w:rsid w:val="0041720F"/>
    <w:rsid w:val="00425AAF"/>
    <w:rsid w:val="004D6025"/>
    <w:rsid w:val="00640271"/>
    <w:rsid w:val="007446EA"/>
    <w:rsid w:val="00770BA3"/>
    <w:rsid w:val="0079414E"/>
    <w:rsid w:val="007B275F"/>
    <w:rsid w:val="008744ED"/>
    <w:rsid w:val="00895964"/>
    <w:rsid w:val="008D6F0B"/>
    <w:rsid w:val="00954A4A"/>
    <w:rsid w:val="009874E5"/>
    <w:rsid w:val="00A418C7"/>
    <w:rsid w:val="00AC07C4"/>
    <w:rsid w:val="00B73F2C"/>
    <w:rsid w:val="00C959FE"/>
    <w:rsid w:val="00DF66F6"/>
    <w:rsid w:val="00E3032B"/>
    <w:rsid w:val="00E87320"/>
    <w:rsid w:val="00EC2D51"/>
    <w:rsid w:val="00F833BC"/>
    <w:rsid w:val="00F9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nban.luatminhkhue.vn/xem-vb/4561/thong-tu-so-200-2014-tt-btc-cua-bo-tai-chinh-huong-dan-che-do-ke-toan-doanh-nghiep.asp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7</cp:revision>
  <dcterms:created xsi:type="dcterms:W3CDTF">2015-09-25T00:33:00Z</dcterms:created>
  <dcterms:modified xsi:type="dcterms:W3CDTF">2020-05-18T05:28:00Z</dcterms:modified>
</cp:coreProperties>
</file>