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shd w:val="clear" w:color="auto" w:fill="FFFFFF"/>
        <w:tblCellMar>
          <w:left w:w="0" w:type="dxa"/>
          <w:right w:w="0" w:type="dxa"/>
        </w:tblCellMar>
        <w:tblLook w:val="04A0" w:firstRow="1" w:lastRow="0" w:firstColumn="1" w:lastColumn="0" w:noHBand="0" w:noVBand="1"/>
      </w:tblPr>
      <w:tblGrid>
        <w:gridCol w:w="3588"/>
        <w:gridCol w:w="6297"/>
      </w:tblGrid>
      <w:tr w:rsidR="00954A4A" w:rsidTr="00954A4A">
        <w:trPr>
          <w:trHeight w:val="810"/>
        </w:trPr>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bookmarkStart w:id="0" w:name="_GoBack"/>
            <w:bookmarkEnd w:id="0"/>
            <w:r>
              <w:rPr>
                <w:rStyle w:val="Strong"/>
                <w:rFonts w:ascii="inherit" w:hAnsi="inherit" w:cs="Arial"/>
                <w:color w:val="000000"/>
                <w:sz w:val="21"/>
                <w:szCs w:val="21"/>
                <w:bdr w:val="none" w:sz="0" w:space="0" w:color="auto" w:frame="1"/>
              </w:rPr>
              <w:t>Đơn vị báo cáo:</w:t>
            </w: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Địa chỉ:</w:t>
            </w:r>
            <w:r>
              <w:rPr>
                <w:rFonts w:ascii="inherit" w:hAnsi="inherit" w:cs="Arial"/>
                <w:color w:val="000000"/>
                <w:sz w:val="21"/>
                <w:szCs w:val="21"/>
                <w:bdr w:val="none" w:sz="0" w:space="0" w:color="auto" w:frame="1"/>
              </w:rPr>
              <w:t> .........................................</w:t>
            </w:r>
          </w:p>
        </w:tc>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Mẫu số B09 – DN</w:t>
            </w:r>
          </w:p>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r>
              <w:rPr>
                <w:rStyle w:val="Emphasis"/>
                <w:rFonts w:ascii="inherit" w:hAnsi="inherit" w:cs="Arial"/>
                <w:color w:val="000000"/>
                <w:sz w:val="21"/>
                <w:szCs w:val="21"/>
                <w:bdr w:val="none" w:sz="0" w:space="0" w:color="auto" w:frame="1"/>
              </w:rPr>
              <w:t>Ban hành theo </w:t>
            </w:r>
            <w:hyperlink r:id="rId8" w:tgtFrame="_blank" w:history="1">
              <w:r>
                <w:rPr>
                  <w:rStyle w:val="Hyperlink"/>
                  <w:rFonts w:ascii="inherit" w:hAnsi="inherit" w:cs="Arial"/>
                  <w:i/>
                  <w:iCs/>
                  <w:color w:val="135ECD"/>
                  <w:sz w:val="21"/>
                  <w:szCs w:val="21"/>
                  <w:bdr w:val="none" w:sz="0" w:space="0" w:color="auto" w:frame="1"/>
                </w:rPr>
                <w:t>Thông tư số 200/2014/TT-BTC</w:t>
              </w:r>
            </w:hyperlink>
          </w:p>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ngày 22/12/2014 của Bộ Tài chính</w:t>
            </w:r>
            <w:r>
              <w:rPr>
                <w:rFonts w:ascii="inherit" w:hAnsi="inherit" w:cs="Arial"/>
                <w:color w:val="000000"/>
                <w:sz w:val="21"/>
                <w:szCs w:val="21"/>
                <w:bdr w:val="none" w:sz="0" w:space="0" w:color="auto" w:frame="1"/>
              </w:rPr>
              <w:t>)</w:t>
            </w:r>
          </w:p>
        </w:tc>
      </w:tr>
    </w:tbl>
    <w:p w:rsidR="00954A4A" w:rsidRDefault="00954A4A" w:rsidP="00954A4A">
      <w:pPr>
        <w:pStyle w:val="NormalWeb"/>
        <w:shd w:val="clear" w:color="auto" w:fill="FFFFFF"/>
        <w:spacing w:before="0" w:beforeAutospacing="0" w:after="90" w:afterAutospacing="0" w:line="345" w:lineRule="atLeast"/>
        <w:ind w:left="720"/>
        <w:textAlignment w:val="baseline"/>
        <w:rPr>
          <w:rFonts w:ascii="Arial" w:eastAsia="Calibri" w:hAnsi="Arial" w:cs="Arial"/>
          <w:color w:val="000000"/>
          <w:sz w:val="21"/>
          <w:szCs w:val="21"/>
        </w:rPr>
      </w:pPr>
      <w:r>
        <w:rPr>
          <w:rFonts w:ascii="Arial" w:hAnsi="Arial" w:cs="Arial"/>
          <w:color w:val="000000"/>
          <w:sz w:val="21"/>
          <w:szCs w:val="21"/>
        </w:rPr>
        <w:t> </w:t>
      </w:r>
    </w:p>
    <w:p w:rsidR="00954A4A" w:rsidRDefault="00954A4A" w:rsidP="00954A4A">
      <w:pPr>
        <w:pStyle w:val="Heading2"/>
        <w:shd w:val="clear" w:color="auto" w:fill="FFFFFF"/>
        <w:spacing w:before="0" w:after="0"/>
        <w:jc w:val="center"/>
        <w:textAlignment w:val="baseline"/>
        <w:rPr>
          <w:rFonts w:eastAsia="Times New Roman" w:cs="Arial"/>
          <w:color w:val="000000"/>
          <w:sz w:val="36"/>
          <w:szCs w:val="36"/>
        </w:rPr>
      </w:pPr>
      <w:r>
        <w:rPr>
          <w:rStyle w:val="Strong"/>
          <w:rFonts w:ascii="inherit" w:eastAsia="Times New Roman" w:hAnsi="inherit" w:cs="Arial"/>
          <w:b/>
          <w:bCs w:val="0"/>
          <w:color w:val="000000"/>
          <w:sz w:val="21"/>
          <w:szCs w:val="21"/>
          <w:bdr w:val="none" w:sz="0" w:space="0" w:color="auto" w:frame="1"/>
        </w:rPr>
        <w:t>BẢN THUYẾT MINH BÁO CÁO TÀI CHÍNH</w:t>
      </w:r>
    </w:p>
    <w:p w:rsidR="00954A4A" w:rsidRDefault="00954A4A" w:rsidP="00954A4A">
      <w:pPr>
        <w:pStyle w:val="NormalWeb"/>
        <w:shd w:val="clear" w:color="auto" w:fill="FFFFFF"/>
        <w:spacing w:before="0" w:beforeAutospacing="0" w:after="0" w:afterAutospacing="0" w:line="345" w:lineRule="atLeast"/>
        <w:jc w:val="center"/>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Năm ....... (1)</w:t>
      </w:r>
    </w:p>
    <w:p w:rsidR="00954A4A" w:rsidRDefault="00954A4A" w:rsidP="00954A4A">
      <w:pPr>
        <w:pStyle w:val="NormalWeb"/>
        <w:shd w:val="clear" w:color="auto" w:fill="FFFFFF"/>
        <w:spacing w:before="0" w:beforeAutospacing="0" w:after="90" w:afterAutospacing="0" w:line="345" w:lineRule="atLeast"/>
        <w:jc w:val="center"/>
        <w:textAlignment w:val="baseline"/>
        <w:rPr>
          <w:rFonts w:ascii="Arial" w:hAnsi="Arial" w:cs="Arial"/>
          <w:color w:val="000000"/>
          <w:sz w:val="21"/>
          <w:szCs w:val="21"/>
        </w:rPr>
      </w:pPr>
      <w:r>
        <w:rPr>
          <w:rFonts w:ascii="Arial"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 Đặc điểm hoạt động của doanh nghiệp</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Hình thức sở hữu vốn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Lĩnh vực kinh doanh</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 Ngành nghề kinh doanh</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4. Đặc điểm hoạt động của doanh nghiệp trong năm tài chính có ảnh hưởng đến báo cáo tài chính.</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II. Kỳ kế toán, đơn vị tiền tệ sử dụng trong kế toán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Kỳ kế toán năm (bắt đầu từ ngày..../..../.... kết thúc vào ngày ..../..../...).</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Đơn vị tiền tệ sử dụng trong kế toán.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III. Chuẩn mực và Chế độ kế toán áp dụng</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Chế độ kế toán áp dụng</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Tuyên bố về việc tuân thủ Chuẩn mực kế toán và Chế độ kế toán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 Hình thức kế toán áp dụng</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IV. Các chính sách kế toán áp dụng</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Nguyên tắc ghi nhận các khoản tiền và các khoản tương đương tiền.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Phương pháp chuyển đổi các đồng tiền khác ra đồng tiền sử dụng trong kế toán.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Nguyên tắc ghi nhận hàng tồn kho:</w:t>
      </w:r>
    </w:p>
    <w:p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hàng tồn kho;</w:t>
      </w:r>
    </w:p>
    <w:p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tính giá trị hàng tồn kho;</w:t>
      </w:r>
    </w:p>
    <w:p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hạch toán hàng tồn kho;</w:t>
      </w:r>
    </w:p>
    <w:p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lập dự phòng giảm giá hàng tồn kho.</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3. Nguyên tắc ghi nhận và khấu hao TSCĐ và bất động sản đầu tư:</w:t>
      </w:r>
    </w:p>
    <w:p w:rsidR="00954A4A" w:rsidRDefault="00954A4A" w:rsidP="00954A4A">
      <w:pPr>
        <w:numPr>
          <w:ilvl w:val="0"/>
          <w:numId w:val="10"/>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TSCĐ (hữu hình, vô hình, thuê tài chính);</w:t>
      </w:r>
    </w:p>
    <w:p w:rsidR="00954A4A" w:rsidRDefault="00954A4A" w:rsidP="00954A4A">
      <w:pPr>
        <w:numPr>
          <w:ilvl w:val="0"/>
          <w:numId w:val="10"/>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khấu hao TSCĐ (hữu hình, vô hình, thuê tài chính).</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4. Nguyên tắc ghi nhận và khấu hao bất động sản đầu tư</w:t>
      </w:r>
    </w:p>
    <w:p w:rsidR="00954A4A" w:rsidRDefault="00954A4A" w:rsidP="00954A4A">
      <w:pPr>
        <w:numPr>
          <w:ilvl w:val="0"/>
          <w:numId w:val="11"/>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bất động sản đầu tư;</w:t>
      </w:r>
    </w:p>
    <w:p w:rsidR="00954A4A" w:rsidRDefault="00954A4A" w:rsidP="00954A4A">
      <w:pPr>
        <w:numPr>
          <w:ilvl w:val="0"/>
          <w:numId w:val="11"/>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khấu hao bất động sản đầu tư.</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5. Nguyên tắc ghi nhận các khoản đầu tư tài chính:</w:t>
      </w:r>
    </w:p>
    <w:p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Các khoản đầu tư vào công ty con, công ty liên kết, vốn góp vào cơ sở kinh doanh đồng kiểm soát;</w:t>
      </w:r>
    </w:p>
    <w:p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Các khoản đầu tư chứng khoán ngắn hạn;</w:t>
      </w:r>
    </w:p>
    <w:p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Các khoản đầu tư ngắn hạn, dài hạn khác;</w:t>
      </w:r>
    </w:p>
    <w:p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lập dự phòng giảm giá đầu tư ngắn hạn, dài hạn.</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6. Nguyên tắc ghi nhận và vốn hóa các khoản chi phí đi vay:</w:t>
      </w:r>
    </w:p>
    <w:p w:rsidR="00954A4A" w:rsidRDefault="00954A4A" w:rsidP="00954A4A">
      <w:pPr>
        <w:numPr>
          <w:ilvl w:val="0"/>
          <w:numId w:val="13"/>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chi phí đi vay;</w:t>
      </w:r>
    </w:p>
    <w:p w:rsidR="00954A4A" w:rsidRDefault="00954A4A" w:rsidP="00954A4A">
      <w:pPr>
        <w:numPr>
          <w:ilvl w:val="0"/>
          <w:numId w:val="13"/>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Tỷ lệ vốn hóa được sử dụng để xác định chi phí đi vay được vốn hóa trong kỳ;</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lastRenderedPageBreak/>
        <w:t>7. Nguyên tắc ghi nhận và vốn hóa các khoản chi phí khác:</w:t>
      </w:r>
    </w:p>
    <w:p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Chi phí trả trước;</w:t>
      </w:r>
    </w:p>
    <w:p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Chi phí khác;</w:t>
      </w:r>
    </w:p>
    <w:p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phân bổ chi phí trả trước ;</w:t>
      </w:r>
    </w:p>
    <w:p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và thời gian phân bổ lợi thế thương mại.</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8. Nguyên tắc ghi nhận chi phí phải trả.</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9. Nguyên tắc và phương pháp ghi nhận các khoản dự phòng phải trả.</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10. Nguyên tắc ghi nhận vốn chủ sở hữu:</w:t>
      </w:r>
    </w:p>
    <w:p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vốn đầu tư của chủ sở hữu, thặng dư vốn cổ phần, vốn khác của chủ sở hữu.</w:t>
      </w:r>
    </w:p>
    <w:p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chênh lệch đánh giá lại tài sản.</w:t>
      </w:r>
    </w:p>
    <w:p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chênh lệch tỷ giá.</w:t>
      </w:r>
    </w:p>
    <w:p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lợi nhuận chưa phân phối.</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11. Nguyên tắc và phương pháp ghi nhận doanh thu:</w:t>
      </w:r>
    </w:p>
    <w:p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bán hàng;</w:t>
      </w:r>
    </w:p>
    <w:p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cung cấp dịch vụ;</w:t>
      </w:r>
    </w:p>
    <w:p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hoạt động tài chính;</w:t>
      </w:r>
    </w:p>
    <w:p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hợp đồng xây dựng.</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12. Nguyên tắc và phương pháp ghi nhận chi phí tài chính.</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13. Nguyên tắc và phương pháp ghi nhận chi phí thuế thu nhập doanh nghiệp hiện hành, chi phí thuế thu nhập doanh nghiệp hoãn lại.</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14. Các nghiệp vụ dự phòng rủi ro hối đoái.</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15. Các nguyên tắc và phương pháp kế toán khác.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V. Thông tin bổ sung cho các khoản mục trình bày trong Bảng cân đối kế toán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(Đơn vị tính:......)</w:t>
      </w:r>
    </w:p>
    <w:tbl>
      <w:tblPr>
        <w:tblW w:w="9885" w:type="dxa"/>
        <w:shd w:val="clear" w:color="auto" w:fill="FFFFFF"/>
        <w:tblCellMar>
          <w:left w:w="0" w:type="dxa"/>
          <w:right w:w="0" w:type="dxa"/>
        </w:tblCellMar>
        <w:tblLook w:val="04A0" w:firstRow="1" w:lastRow="0" w:firstColumn="1" w:lastColumn="0" w:noHBand="0" w:noVBand="1"/>
      </w:tblPr>
      <w:tblGrid>
        <w:gridCol w:w="6615"/>
        <w:gridCol w:w="1712"/>
        <w:gridCol w:w="1558"/>
      </w:tblGrid>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01- Tiền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Tiền mặt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Tiền gửi ngân hàng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Tiền đang chuyển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Cộ</w:t>
            </w:r>
            <w:r>
              <w:rPr>
                <w:rStyle w:val="Strong"/>
                <w:rFonts w:ascii="inherit" w:hAnsi="inherit" w:cs="Arial"/>
                <w:color w:val="000000"/>
                <w:sz w:val="21"/>
                <w:szCs w:val="21"/>
                <w:bdr w:val="none" w:sz="0" w:space="0" w:color="auto" w:frame="1"/>
              </w:rPr>
              <w:t>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02- Các khoản đầu tư tài chính ngắn hạn:</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Chứng khoán đầu tư ngắn hạn</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Đầu tư ngắn hạn khác  </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Dự phòng giảm giá đầu tư ngắn hạn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Cộng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03- Các khoản phải thu ngắn hạn khác</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về cổ phần hoá</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về cổ tức và lợi nhuận được chia</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người lao động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khác</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lastRenderedPageBreak/>
              <w:t>Cộng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04- Hàng tồn kho</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mua đang đi đường</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Nguyên liệu, vật liệu</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Công cụ, dụng cụ</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SX, KD dở dang</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Thành phẩm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hóa</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gửi đi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hoá kho bảo thuế</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hoá bất động sản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Cộng giá gốc hàng tồn kho</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pStyle w:val="NormalWeb"/>
        <w:shd w:val="clear" w:color="auto" w:fill="FFFFFF"/>
        <w:spacing w:before="0" w:beforeAutospacing="0" w:after="0" w:afterAutospacing="0" w:line="345" w:lineRule="atLeast"/>
        <w:ind w:left="16"/>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Giá trị ghi sổ của hàng tồn kho dùng để thế chấp, cầm cố đảm bảo các khoản nợ phải trả:        </w:t>
      </w:r>
    </w:p>
    <w:p w:rsidR="00954A4A" w:rsidRDefault="00954A4A" w:rsidP="00954A4A">
      <w:pPr>
        <w:pStyle w:val="NormalWeb"/>
        <w:shd w:val="clear" w:color="auto" w:fill="FFFFFF"/>
        <w:spacing w:before="0" w:beforeAutospacing="0" w:after="0" w:afterAutospacing="0" w:line="345" w:lineRule="atLeast"/>
        <w:ind w:left="16"/>
        <w:textAlignment w:val="baseline"/>
        <w:rPr>
          <w:rFonts w:ascii="Arial" w:hAnsi="Arial" w:cs="Arial"/>
          <w:color w:val="000000"/>
          <w:sz w:val="21"/>
          <w:szCs w:val="21"/>
        </w:rPr>
      </w:pPr>
      <w:r>
        <w:rPr>
          <w:rFonts w:ascii="inherit" w:hAnsi="inherit" w:cs="Arial"/>
          <w:color w:val="000000"/>
          <w:sz w:val="21"/>
          <w:szCs w:val="21"/>
          <w:bdr w:val="none" w:sz="0" w:space="0" w:color="auto" w:frame="1"/>
        </w:rPr>
        <w:t>* Giá trị hoàn nhập dự phòng giảm giá hàng tồn kho trong năm:............................................</w:t>
      </w:r>
    </w:p>
    <w:p w:rsidR="00954A4A" w:rsidRDefault="00954A4A" w:rsidP="00954A4A">
      <w:pPr>
        <w:pStyle w:val="NormalWeb"/>
        <w:shd w:val="clear" w:color="auto" w:fill="FFFFFF"/>
        <w:spacing w:before="0" w:beforeAutospacing="0" w:after="0" w:afterAutospacing="0" w:line="345" w:lineRule="atLeast"/>
        <w:ind w:left="16"/>
        <w:textAlignment w:val="baseline"/>
        <w:rPr>
          <w:rFonts w:ascii="Arial" w:hAnsi="Arial" w:cs="Arial"/>
          <w:color w:val="000000"/>
          <w:sz w:val="21"/>
          <w:szCs w:val="21"/>
        </w:rPr>
      </w:pPr>
      <w:r>
        <w:rPr>
          <w:rFonts w:ascii="inherit" w:hAnsi="inherit" w:cs="Arial"/>
          <w:color w:val="000000"/>
          <w:sz w:val="21"/>
          <w:szCs w:val="21"/>
          <w:bdr w:val="none" w:sz="0" w:space="0" w:color="auto" w:frame="1"/>
        </w:rPr>
        <w:t>* Các trường hợp hoặc sự kiện dẫn đến phải trích thêm hoặc hoàn nhập dự phòng giảm giá hàng tồn kho:...........................................................................</w:t>
      </w:r>
    </w:p>
    <w:tbl>
      <w:tblPr>
        <w:tblW w:w="9885" w:type="dxa"/>
        <w:jc w:val="center"/>
        <w:shd w:val="clear" w:color="auto" w:fill="FFFFFF"/>
        <w:tblCellMar>
          <w:left w:w="0" w:type="dxa"/>
          <w:right w:w="0" w:type="dxa"/>
        </w:tblCellMar>
        <w:tblLook w:val="04A0" w:firstRow="1" w:lastRow="0" w:firstColumn="1" w:lastColumn="0" w:noHBand="0" w:noVBand="1"/>
      </w:tblPr>
      <w:tblGrid>
        <w:gridCol w:w="6589"/>
        <w:gridCol w:w="1735"/>
        <w:gridCol w:w="1561"/>
      </w:tblGrid>
      <w:tr w:rsidR="00954A4A"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05- Thuế và các khoản phải thu Nhà nước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trHeight w:val="127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thu nhập doanh nghiệp nộp thừa</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Các khoản khác phải thu Nhà nước: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    </w:t>
            </w:r>
          </w:p>
        </w:tc>
      </w:tr>
      <w:tr w:rsidR="00954A4A" w:rsidTr="00954A4A">
        <w:trPr>
          <w:trHeight w:val="127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06- Phải thu dài hạn nội bộ</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Cho vay dài hạn nội bộ</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dài hạn nội bộ khác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07- Phải thu dài hạn khác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trHeight w:val="630"/>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Ký quỹ, ký cược dài hạn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khoản tiền nhận uỷ thác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Cho vay không có lãi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Phải thu dài hạn khác  </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08 - Tăng, giảm tài sản cố định hữu hình:</w:t>
      </w:r>
    </w:p>
    <w:tbl>
      <w:tblPr>
        <w:tblW w:w="9885" w:type="dxa"/>
        <w:jc w:val="center"/>
        <w:shd w:val="clear" w:color="auto" w:fill="FFFFFF"/>
        <w:tblCellMar>
          <w:left w:w="0" w:type="dxa"/>
          <w:right w:w="0" w:type="dxa"/>
        </w:tblCellMar>
        <w:tblLook w:val="04A0" w:firstRow="1" w:lastRow="0" w:firstColumn="1" w:lastColumn="0" w:noHBand="0" w:noVBand="1"/>
      </w:tblPr>
      <w:tblGrid>
        <w:gridCol w:w="3747"/>
        <w:gridCol w:w="998"/>
        <w:gridCol w:w="986"/>
        <w:gridCol w:w="1298"/>
        <w:gridCol w:w="692"/>
        <w:gridCol w:w="932"/>
        <w:gridCol w:w="1232"/>
      </w:tblGrid>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Khoản mục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Nhà cửa, vật kiến trúc</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Máy móc, thiết bị</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Phương tiện vận tải, truyền dẫn</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TSCĐ hữu hình khác</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cộng</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Nguyên giá TSCĐ hữu hình</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trong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Đầu tư XDCB hoàn thành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Chuyển sang bất động sản đầu tư</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hao mòn lũy kế</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Khấu hao trong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Chuyển sang bất động sản đầu tư</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còn lại của TSCĐ</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hữu hình</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đầu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cuối năm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ind w:left="330"/>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Giá trị còn lại cuối năm của TSCĐ hữu hình đã dùng để thế chấp, cầm cố đảm bảo các khoản vay:</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Nguyên giá TSCĐ cuối năm</w:t>
      </w:r>
      <w:r>
        <w:rPr>
          <w:rFonts w:ascii="inherit" w:hAnsi="inherit" w:cs="Arial"/>
          <w:color w:val="000000"/>
          <w:sz w:val="21"/>
          <w:szCs w:val="21"/>
          <w:bdr w:val="none" w:sz="0" w:space="0" w:color="auto" w:frame="1"/>
        </w:rPr>
        <w:t> </w:t>
      </w:r>
      <w:r>
        <w:rPr>
          <w:rStyle w:val="Emphasis"/>
          <w:rFonts w:ascii="inherit" w:hAnsi="inherit" w:cs="Arial"/>
          <w:color w:val="000000"/>
          <w:sz w:val="21"/>
          <w:szCs w:val="21"/>
          <w:bdr w:val="none" w:sz="0" w:space="0" w:color="auto" w:frame="1"/>
        </w:rPr>
        <w:t>đã khấu hao hết nhưng vẫn còn sử dụng:</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Nguyên giá TSCĐ cuối năm chờ thanh lý:       </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Các cam kết về việc mua, bán TSCĐ hữu hình có giá trị lớn trong tương lai:</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Các thay đổi khác về TSCĐ hữu hình:</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09- Tăng, giảm tài sản cố định thuê tài chính:</w:t>
      </w:r>
    </w:p>
    <w:tbl>
      <w:tblPr>
        <w:tblW w:w="9885" w:type="dxa"/>
        <w:shd w:val="clear" w:color="auto" w:fill="FFFFFF"/>
        <w:tblCellMar>
          <w:left w:w="0" w:type="dxa"/>
          <w:right w:w="0" w:type="dxa"/>
        </w:tblCellMar>
        <w:tblLook w:val="04A0" w:firstRow="1" w:lastRow="0" w:firstColumn="1" w:lastColumn="0" w:noHBand="0" w:noVBand="1"/>
      </w:tblPr>
      <w:tblGrid>
        <w:gridCol w:w="3046"/>
        <w:gridCol w:w="1029"/>
        <w:gridCol w:w="929"/>
        <w:gridCol w:w="1329"/>
        <w:gridCol w:w="544"/>
        <w:gridCol w:w="991"/>
        <w:gridCol w:w="1000"/>
        <w:gridCol w:w="1017"/>
      </w:tblGrid>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Khoản mục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Nhà cửa, vật kiến trúc</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Máy móc, thiết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bị</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Phương tiện vận tải, truyền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dẫn</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TSCĐ hữu hình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Tài sản cố định vô</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hình</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cộng</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Nguyên giá TSCĐ thuê tài chính</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Thuê tài chính trong năm</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lại TSCĐ thuê tài chính</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Trả lại TSCĐ thuê tài chính</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Giá trị hao mòn lũy kế</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Khấu hao trong năm</w:t>
            </w:r>
          </w:p>
          <w:p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lại TSCĐ thuê tài chính</w:t>
            </w:r>
          </w:p>
          <w:p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Trả lại TSCĐ thuê tài chính</w:t>
            </w:r>
          </w:p>
          <w:p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Giá trị còn lại của TSCĐ thuê tài chính</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đầu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cuối năm         </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Tiền thuê phát sinh thêm được ghi nhận là chi phí trong năm:</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Căn cứ để xác định tiền thuê phát sinh thêm:</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Điều khoản gia hạn thuê hoặc quyền được mua tài sản: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10- Tăng, giảm tài sản cố định vô hình:  </w:t>
      </w:r>
    </w:p>
    <w:tbl>
      <w:tblPr>
        <w:tblW w:w="9885" w:type="dxa"/>
        <w:shd w:val="clear" w:color="auto" w:fill="FFFFFF"/>
        <w:tblCellMar>
          <w:left w:w="0" w:type="dxa"/>
          <w:right w:w="0" w:type="dxa"/>
        </w:tblCellMar>
        <w:tblLook w:val="04A0" w:firstRow="1" w:lastRow="0" w:firstColumn="1" w:lastColumn="0" w:noHBand="0" w:noVBand="1"/>
      </w:tblPr>
      <w:tblGrid>
        <w:gridCol w:w="3301"/>
        <w:gridCol w:w="1205"/>
        <w:gridCol w:w="1292"/>
        <w:gridCol w:w="1378"/>
        <w:gridCol w:w="779"/>
        <w:gridCol w:w="1060"/>
        <w:gridCol w:w="870"/>
      </w:tblGrid>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Khoản mục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Quyền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sử dụng đất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Quyền phát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hành</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Bản quyền, bằng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sáng chế</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TSCĐ vô hình khác</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cộng</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Nguyên giá TSCĐ vô hình</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trong năm</w:t>
            </w:r>
          </w:p>
          <w:p w:rsidR="00954A4A" w:rsidRDefault="00954A4A">
            <w:pPr>
              <w:pStyle w:val="NormalWeb"/>
              <w:spacing w:before="0" w:beforeAutospacing="0" w:after="0" w:afterAutospacing="0" w:line="345" w:lineRule="atLeast"/>
              <w:ind w:left="214"/>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Tạo ra từ nội bộ doanh nghiệp</w:t>
            </w:r>
          </w:p>
          <w:p w:rsidR="00954A4A" w:rsidRDefault="00954A4A">
            <w:pPr>
              <w:pStyle w:val="NormalWeb"/>
              <w:spacing w:before="0" w:beforeAutospacing="0" w:after="0" w:afterAutospacing="0" w:line="345" w:lineRule="atLeast"/>
              <w:ind w:left="214"/>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do hợp nhất kinh doanh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hao mòn lũy kế</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ind w:left="-1998"/>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Khấu hao trong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14"/>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còn lại của TSCĐ vô hình</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đầu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cuối năm          </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Thuyết minh số liệu và giải trình khác: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w:t>
      </w:r>
    </w:p>
    <w:tbl>
      <w:tblPr>
        <w:tblpPr w:leftFromText="60" w:rightFromText="60" w:vertAnchor="text"/>
        <w:tblW w:w="9885" w:type="dxa"/>
        <w:shd w:val="clear" w:color="auto" w:fill="FFFFFF"/>
        <w:tblCellMar>
          <w:left w:w="0" w:type="dxa"/>
          <w:right w:w="0" w:type="dxa"/>
        </w:tblCellMar>
        <w:tblLook w:val="04A0" w:firstRow="1" w:lastRow="0" w:firstColumn="1" w:lastColumn="0" w:noHBand="0" w:noVBand="1"/>
      </w:tblPr>
      <w:tblGrid>
        <w:gridCol w:w="6625"/>
        <w:gridCol w:w="1509"/>
        <w:gridCol w:w="1751"/>
      </w:tblGrid>
      <w:tr w:rsidR="00954A4A" w:rsidTr="00954A4A">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11- Chi phí xây dựng cơ bản dở dang:</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số chi phí XDCB dở dang:</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Trong đó (Những công trình lớn):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Công trình…………..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Công trình…………..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12- Tăng, giảm bất động sản đầu tư:</w:t>
      </w:r>
    </w:p>
    <w:tbl>
      <w:tblPr>
        <w:tblW w:w="9885" w:type="dxa"/>
        <w:shd w:val="clear" w:color="auto" w:fill="FFFFFF"/>
        <w:tblCellMar>
          <w:left w:w="0" w:type="dxa"/>
          <w:right w:w="0" w:type="dxa"/>
        </w:tblCellMar>
        <w:tblLook w:val="04A0" w:firstRow="1" w:lastRow="0" w:firstColumn="1" w:lastColumn="0" w:noHBand="0" w:noVBand="1"/>
      </w:tblPr>
      <w:tblGrid>
        <w:gridCol w:w="4226"/>
        <w:gridCol w:w="1190"/>
        <w:gridCol w:w="1571"/>
        <w:gridCol w:w="1495"/>
        <w:gridCol w:w="1403"/>
      </w:tblGrid>
      <w:tr w:rsidR="00954A4A" w:rsidTr="00954A4A">
        <w:trPr>
          <w:trHeight w:val="94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Khoản mục</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Tăng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trong năm</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Giảm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trong năm</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r>
      <w:tr w:rsidR="00954A4A" w:rsidTr="00954A4A">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Nguyên giá bất động sản đầu tư</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trHeight w:val="1740"/>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Quyền sử dụng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 và quyền sử dụng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hao mòn lũy kế</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trHeight w:val="1740"/>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Quyền sử dụng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 và quyền sử dụng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còn lại của bất động sản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đầu tư</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trHeight w:val="175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Quyền sử dụng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 và quyền sử dụng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Thuyết minh số liệu và giải trình khác: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p>
    <w:tbl>
      <w:tblPr>
        <w:tblW w:w="9885" w:type="dxa"/>
        <w:jc w:val="center"/>
        <w:shd w:val="clear" w:color="auto" w:fill="FFFFFF"/>
        <w:tblCellMar>
          <w:left w:w="0" w:type="dxa"/>
          <w:right w:w="0" w:type="dxa"/>
        </w:tblCellMar>
        <w:tblLook w:val="04A0" w:firstRow="1" w:lastRow="0" w:firstColumn="1" w:lastColumn="0" w:noHBand="0" w:noVBand="1"/>
      </w:tblPr>
      <w:tblGrid>
        <w:gridCol w:w="7386"/>
        <w:gridCol w:w="1307"/>
        <w:gridCol w:w="1192"/>
      </w:tblGrid>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35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13- Đầu tư dài hạn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cổ phiếu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trái phiếu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tín phiếu, kỳ phiếu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Cho vay dài hạn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dài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4"/>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14- Chi phí trả trước dài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trả trước về thuê hoạt động TSCĐ</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thành lập doanh nghiệp</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nghiên cứu có giá trị lớn</w:t>
            </w:r>
          </w:p>
          <w:p w:rsidR="00954A4A" w:rsidRDefault="00954A4A">
            <w:pPr>
              <w:pStyle w:val="NormalWeb"/>
              <w:spacing w:before="0" w:beforeAutospacing="0" w:after="0" w:afterAutospacing="0" w:line="345" w:lineRule="atLeast"/>
              <w:ind w:left="61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cho giai đoạn triển khai không đủ tiêu chuẩn ghi nhận là TSCĐ vô hình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15- Vay và nợ ngắn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Vay ngắn hạn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Nợ dài hạn đến hạn trả</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16- Thuế và các khoản phải nộp nhà nước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giá trị gia tăng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tiêu thụ đặc biệt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xuất, nhập khẩu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doanh nghiệp</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cá nhân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tài nguyên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nhà đất và tiền thuê đất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loại thuế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khoản phí, lệ phí và các khoản phải nộp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17- Chi phí phải trả</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Trích trước chi phí tiền lương trong thời gian nghỉ phép</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sửa chữa lớn TSCĐ</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trong thời gian ngừng kinh doanh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rPr>
          <w:trHeight w:val="285"/>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85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18- Các khoản phải trả, phải nộp ngắn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Tài sản thừa chờ giải quyết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Kinh phí công đoàn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Bảo hiểm xã hội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Bảo hiểm y tế</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trả về cổ phần hoá</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Nhận ký quỹ, ký cược ngắn hạn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chưa thực hiện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Các khoản phải trả, phải nộp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85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19- Phải trả dài hạn nội bộ</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Vay dài hạn nội bộ</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trả dài hạn nội bộ khác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20- Vay và nợ dài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a - Vay dài hạn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Vay ngân hàng</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Vay đối tượng khác</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Trái phiếu phát hành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b - Nợ dài hạn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Thuê tài chính</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Nợ dài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c- Các khoản nợ thuê tài chính</w:t>
      </w:r>
    </w:p>
    <w:tbl>
      <w:tblPr>
        <w:tblW w:w="9885" w:type="dxa"/>
        <w:shd w:val="clear" w:color="auto" w:fill="FFFFFF"/>
        <w:tblCellMar>
          <w:left w:w="0" w:type="dxa"/>
          <w:right w:w="0" w:type="dxa"/>
        </w:tblCellMar>
        <w:tblLook w:val="04A0" w:firstRow="1" w:lastRow="0" w:firstColumn="1" w:lastColumn="0" w:noHBand="0" w:noVBand="1"/>
      </w:tblPr>
      <w:tblGrid>
        <w:gridCol w:w="1390"/>
        <w:gridCol w:w="1638"/>
        <w:gridCol w:w="1415"/>
        <w:gridCol w:w="1239"/>
        <w:gridCol w:w="1682"/>
        <w:gridCol w:w="1239"/>
        <w:gridCol w:w="1282"/>
      </w:tblGrid>
      <w:tr w:rsidR="00954A4A"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4365" w:type="dxa"/>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4275" w:type="dxa"/>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Thời hạn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khoản thanh toán tiền thuê tài chính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tiền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thuê</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nợ</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gốc</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khoản thanh toán tiền thuê tài chính</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tiền lãi thuê</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nợ</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gốc</w:t>
            </w:r>
          </w:p>
        </w:tc>
      </w:tr>
      <w:tr w:rsidR="00954A4A"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Từ 1 năm trở xuống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Trên 1 năm đến 5 năm</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Trên 5 năm</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21- Tài sản thuế thu nhập hoãn lại và thuế thu nhập hoãn lại phải trả</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a- Tài sản thuế thu nhập hoãn lại:</w:t>
      </w:r>
    </w:p>
    <w:tbl>
      <w:tblPr>
        <w:tblW w:w="9885" w:type="dxa"/>
        <w:jc w:val="center"/>
        <w:shd w:val="clear" w:color="auto" w:fill="FFFFFF"/>
        <w:tblCellMar>
          <w:left w:w="0" w:type="dxa"/>
          <w:right w:w="0" w:type="dxa"/>
        </w:tblCellMar>
        <w:tblLook w:val="04A0" w:firstRow="1" w:lastRow="0" w:firstColumn="1" w:lastColumn="0" w:noHBand="0" w:noVBand="1"/>
      </w:tblPr>
      <w:tblGrid>
        <w:gridCol w:w="6964"/>
        <w:gridCol w:w="1520"/>
        <w:gridCol w:w="1401"/>
      </w:tblGrid>
      <w:tr w:rsidR="00954A4A"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Tài sản thuế thu nhập hoãn lại liên quan đến</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chênh lệch tạm thời được khấu trừ</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Tài sản thuế thu nhập hoãn lại liên quan đến</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lỗ tính thuế chưa sử dụng</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Tài sản thuế thu nhập hoãn lại liên quan đến</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ưu đãi tính thuế chưa sử dụng</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hoàn nhập tài sản thuế thu nhập hoãn lại</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đã được ghi nhận từ các năm trước</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Tài sản thuế thu nhập hoãn lại</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b- Thuế thu nhập hoãn lại phải trả</w:t>
      </w:r>
    </w:p>
    <w:tbl>
      <w:tblPr>
        <w:tblW w:w="9885" w:type="dxa"/>
        <w:shd w:val="clear" w:color="auto" w:fill="FFFFFF"/>
        <w:tblCellMar>
          <w:left w:w="0" w:type="dxa"/>
          <w:right w:w="0" w:type="dxa"/>
        </w:tblCellMar>
        <w:tblLook w:val="04A0" w:firstRow="1" w:lastRow="0" w:firstColumn="1" w:lastColumn="0" w:noHBand="0" w:noVBand="1"/>
      </w:tblPr>
      <w:tblGrid>
        <w:gridCol w:w="6990"/>
        <w:gridCol w:w="1515"/>
        <w:gridCol w:w="1380"/>
      </w:tblGrid>
      <w:tr w:rsidR="00954A4A" w:rsidTr="00954A4A">
        <w:tc>
          <w:tcPr>
            <w:tcW w:w="69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c>
          <w:tcPr>
            <w:tcW w:w="69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hoãn lại phải trả phát sinh từ các khoản chênh lệch tạm thời chịu thuế</w:t>
            </w:r>
          </w:p>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hoàn nhập thuế thu nhập hoãn lại phải trả đã được ghi nhận từ các năm trước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hoãn lại phải trả</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22- Vốn chủ sở hữu</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a- Bảng đối chiếu biến động của vốn chủ sở hữu          </w:t>
      </w:r>
    </w:p>
    <w:tbl>
      <w:tblPr>
        <w:tblW w:w="9885" w:type="dxa"/>
        <w:shd w:val="clear" w:color="auto" w:fill="FFFFFF"/>
        <w:tblCellMar>
          <w:left w:w="0" w:type="dxa"/>
          <w:right w:w="0" w:type="dxa"/>
        </w:tblCellMar>
        <w:tblLook w:val="04A0" w:firstRow="1" w:lastRow="0" w:firstColumn="1" w:lastColumn="0" w:noHBand="0" w:noVBand="1"/>
      </w:tblPr>
      <w:tblGrid>
        <w:gridCol w:w="1926"/>
        <w:gridCol w:w="879"/>
        <w:gridCol w:w="887"/>
        <w:gridCol w:w="880"/>
        <w:gridCol w:w="883"/>
        <w:gridCol w:w="887"/>
        <w:gridCol w:w="887"/>
        <w:gridCol w:w="870"/>
        <w:gridCol w:w="889"/>
        <w:gridCol w:w="897"/>
      </w:tblGrid>
      <w:tr w:rsidR="00954A4A"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Vốn đầu tư của chủ sở hữu</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Thặng dư vốn cổ phần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Vốn khác của chủ sở hữu</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Cổ phiếu quỹ</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Chênh lệch đánh giá lại tài sản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Chênh lệch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tỷ giá</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hối đoái</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Nguồn vốn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tư XDCB</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Cộng</w:t>
            </w:r>
          </w:p>
        </w:tc>
      </w:tr>
      <w:tr w:rsidR="00954A4A"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A</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4</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5</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6</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7</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8</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9</w:t>
            </w:r>
          </w:p>
        </w:tc>
      </w:tr>
      <w:tr w:rsidR="00954A4A"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Số dư đầu năm trước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vốn trong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trước</w:t>
            </w:r>
          </w:p>
          <w:p w:rsidR="00954A4A" w:rsidRDefault="00954A4A">
            <w:pPr>
              <w:pStyle w:val="NormalWeb"/>
              <w:spacing w:before="0" w:beforeAutospacing="0" w:after="0" w:afterAutospacing="0" w:line="345" w:lineRule="atLeast"/>
              <w:ind w:left="17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trong</w:t>
            </w:r>
          </w:p>
          <w:p w:rsidR="00954A4A" w:rsidRDefault="00954A4A">
            <w:pPr>
              <w:pStyle w:val="NormalWeb"/>
              <w:spacing w:before="0" w:beforeAutospacing="0" w:after="0" w:afterAutospacing="0" w:line="345" w:lineRule="atLeast"/>
              <w:ind w:left="17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trước</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vốn trong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trước</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trong năm</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trước</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Số dư cuối năm trước Số dư đầu năm nay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vốn trong</w:t>
            </w:r>
          </w:p>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nay</w:t>
            </w:r>
          </w:p>
          <w:p w:rsidR="00954A4A" w:rsidRDefault="00954A4A">
            <w:pPr>
              <w:pStyle w:val="NormalWeb"/>
              <w:spacing w:before="0" w:beforeAutospacing="0" w:after="0" w:afterAutospacing="0" w:line="345" w:lineRule="atLeast"/>
              <w:ind w:left="17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trong năm nay</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vốn trong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nay</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trong năm nay</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Số dư cuối năm nay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shd w:val="clear" w:color="auto" w:fill="FFFFFF"/>
        <w:tblCellMar>
          <w:left w:w="0" w:type="dxa"/>
          <w:right w:w="0" w:type="dxa"/>
        </w:tblCellMar>
        <w:tblLook w:val="04A0" w:firstRow="1" w:lastRow="0" w:firstColumn="1" w:lastColumn="0" w:noHBand="0" w:noVBand="1"/>
      </w:tblPr>
      <w:tblGrid>
        <w:gridCol w:w="6957"/>
        <w:gridCol w:w="1464"/>
        <w:gridCol w:w="1464"/>
      </w:tblGrid>
      <w:tr w:rsidR="00954A4A"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 Chi tiết vốn đầu tư của chủ sở hữu</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18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Vốn góp của Nhà nước</w:t>
            </w:r>
          </w:p>
          <w:p w:rsidR="00954A4A" w:rsidRDefault="00954A4A">
            <w:pPr>
              <w:pStyle w:val="NormalWeb"/>
              <w:spacing w:before="0" w:beforeAutospacing="0" w:after="0" w:afterAutospacing="0" w:line="345" w:lineRule="atLeast"/>
              <w:ind w:left="18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Vốn góp của các đối tượng khác</w:t>
            </w:r>
          </w:p>
          <w:p w:rsidR="00954A4A" w:rsidRDefault="00954A4A">
            <w:pPr>
              <w:pStyle w:val="NormalWeb"/>
              <w:spacing w:before="0" w:beforeAutospacing="0" w:after="0" w:afterAutospacing="0" w:line="345" w:lineRule="atLeast"/>
              <w:ind w:left="18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Giá trị trái phiếu đã chuyển thành cổ phiếu trong năm</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Số lượng cổ phiếu quỹ:</w:t>
      </w:r>
    </w:p>
    <w:tbl>
      <w:tblPr>
        <w:tblW w:w="9885" w:type="dxa"/>
        <w:shd w:val="clear" w:color="auto" w:fill="FFFFFF"/>
        <w:tblCellMar>
          <w:left w:w="0" w:type="dxa"/>
          <w:right w:w="0" w:type="dxa"/>
        </w:tblCellMar>
        <w:tblLook w:val="04A0" w:firstRow="1" w:lastRow="0" w:firstColumn="1" w:lastColumn="0" w:noHBand="0" w:noVBand="1"/>
      </w:tblPr>
      <w:tblGrid>
        <w:gridCol w:w="6957"/>
        <w:gridCol w:w="1464"/>
        <w:gridCol w:w="1464"/>
      </w:tblGrid>
      <w:tr w:rsidR="00954A4A"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60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 Các giao dịch về vốn với các chủ sở hữu và phân phối cổ tức, chia lợi nhuận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đầu tư của chủ sở hữu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đầu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tăng trong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giảm trong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cuối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tức, lợi nhuận đã chia</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d- Cổ tức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 Cổ tức đã công bố sau ngày kết thúc kỳ kế toán năm:</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 Cổ tức đã công bố trên cổ phiếu phổ thông:.................</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 Cổ tức đã công bố trên cổ phiếu ưu đãi:..................</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 Cổ tức của cổ phiếu ưu đãi lũy kế chưa được ghi nhận:.......</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 Cổ phiếu</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đăng ký phát hành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đã bán ra công chúng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phổ thông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ưu đãi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được mua lại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phổ thông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ưu đãi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đang lưu hành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phổ thông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ưu đãi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Mệnh giá cổ phiếu đang lưu hành :..............................</w:t>
      </w:r>
    </w:p>
    <w:p w:rsidR="00954A4A" w:rsidRDefault="00954A4A" w:rsidP="00954A4A">
      <w:pPr>
        <w:pStyle w:val="NormalWeb"/>
        <w:shd w:val="clear" w:color="auto" w:fill="FFFFFF"/>
        <w:spacing w:before="0" w:beforeAutospacing="0" w:after="0" w:afterAutospacing="0" w:line="345" w:lineRule="atLeast"/>
        <w:ind w:left="100"/>
        <w:textAlignment w:val="baseline"/>
        <w:rPr>
          <w:rFonts w:ascii="Arial" w:hAnsi="Arial" w:cs="Arial"/>
          <w:color w:val="000000"/>
          <w:sz w:val="21"/>
          <w:szCs w:val="21"/>
        </w:rPr>
      </w:pPr>
      <w:r>
        <w:rPr>
          <w:rFonts w:ascii="inherit" w:hAnsi="inherit" w:cs="Arial"/>
          <w:color w:val="000000"/>
          <w:sz w:val="21"/>
          <w:szCs w:val="21"/>
          <w:bdr w:val="none" w:sz="0" w:space="0" w:color="auto" w:frame="1"/>
        </w:rPr>
        <w:t>e-  Các quỹ của doanh nghiệp:</w:t>
      </w:r>
    </w:p>
    <w:p w:rsidR="00954A4A" w:rsidRDefault="00954A4A" w:rsidP="00954A4A">
      <w:pPr>
        <w:numPr>
          <w:ilvl w:val="0"/>
          <w:numId w:val="17"/>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Quỹ đầu tư phát triển</w:t>
      </w:r>
    </w:p>
    <w:p w:rsidR="00954A4A" w:rsidRDefault="00954A4A" w:rsidP="00954A4A">
      <w:pPr>
        <w:numPr>
          <w:ilvl w:val="0"/>
          <w:numId w:val="17"/>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Quỹ dự phòng tài chính</w:t>
      </w:r>
    </w:p>
    <w:p w:rsidR="00954A4A" w:rsidRDefault="00954A4A" w:rsidP="00954A4A">
      <w:pPr>
        <w:numPr>
          <w:ilvl w:val="0"/>
          <w:numId w:val="17"/>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Quỹ khác thuộc vốn chủ sở hữu</w:t>
      </w:r>
    </w:p>
    <w:p w:rsidR="00954A4A" w:rsidRDefault="00954A4A" w:rsidP="00954A4A">
      <w:pPr>
        <w:pStyle w:val="NormalWeb"/>
        <w:shd w:val="clear" w:color="auto" w:fill="FFFFFF"/>
        <w:spacing w:before="0" w:beforeAutospacing="0" w:after="0" w:afterAutospacing="0" w:line="345" w:lineRule="atLeast"/>
        <w:ind w:left="100"/>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Mục đích trích lập và sử dụng các quỹ của doanh nghiệp</w:t>
      </w:r>
    </w:p>
    <w:p w:rsidR="00954A4A" w:rsidRDefault="00954A4A" w:rsidP="00954A4A">
      <w:pPr>
        <w:pStyle w:val="NormalWeb"/>
        <w:shd w:val="clear" w:color="auto" w:fill="FFFFFF"/>
        <w:spacing w:before="0" w:beforeAutospacing="0" w:after="0" w:afterAutospacing="0" w:line="345" w:lineRule="atLeast"/>
        <w:ind w:left="100"/>
        <w:textAlignment w:val="baseline"/>
        <w:rPr>
          <w:rFonts w:ascii="Arial" w:hAnsi="Arial" w:cs="Arial"/>
          <w:color w:val="000000"/>
          <w:sz w:val="21"/>
          <w:szCs w:val="21"/>
        </w:rPr>
      </w:pPr>
      <w:r>
        <w:rPr>
          <w:rFonts w:ascii="inherit" w:hAnsi="inherit" w:cs="Arial"/>
          <w:color w:val="000000"/>
          <w:sz w:val="21"/>
          <w:szCs w:val="21"/>
          <w:bdr w:val="none" w:sz="0" w:space="0" w:color="auto" w:frame="1"/>
        </w:rPr>
        <w:t>g- Thu nhập và chi phí, lãi hoặc lỗ được ghi nhận trực tiếp vào Vốn chủ sở hữu theo qui định của các chuẩn mực kế toán cụ thể.</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23- Nguồn kinh phí</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Nguồn kinh phí được cấp trong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sự nghiệp</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Nguồn kinh phí còn lại 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24- Tài sản thuê ngoài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 Giá trị tài sản thuê ngoài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TSCĐ thuê ngoài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Tài sản khác thuê ngoài</w:t>
            </w:r>
          </w:p>
          <w:p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 Tổng số tiền thuê tối thiểu trong tương lai của hợp đồng thuê hoạt động tài sản không hủy ngang theo các thời hạn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Từ 1 năm trở xuống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Trên 1 năm đến 5 năm</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Trên 5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Strong"/>
          <w:rFonts w:ascii="inherit" w:hAnsi="inherit" w:cs="Arial"/>
          <w:color w:val="000000"/>
          <w:sz w:val="21"/>
          <w:szCs w:val="21"/>
          <w:bdr w:val="none" w:sz="0" w:space="0" w:color="auto" w:frame="1"/>
        </w:rPr>
        <w:t>VI. Thông tin bổ sung cho các khoản mục trình bày trong Báo cáo kết quả hoạt động kinh doanh                                   </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b/>
          <w:bCs/>
          <w:color w:val="000000"/>
          <w:sz w:val="21"/>
          <w:szCs w:val="21"/>
          <w:bdr w:val="none" w:sz="0" w:space="0" w:color="auto" w:frame="1"/>
        </w:rPr>
        <w:t>(</w:t>
      </w:r>
      <w:r>
        <w:rPr>
          <w:rStyle w:val="Emphasis"/>
          <w:rFonts w:ascii="inherit" w:hAnsi="inherit" w:cs="Arial"/>
          <w:color w:val="000000"/>
          <w:sz w:val="21"/>
          <w:szCs w:val="21"/>
          <w:bdr w:val="none" w:sz="0" w:space="0" w:color="auto" w:frame="1"/>
        </w:rPr>
        <w:t>Đơn vị tính:.............)</w:t>
      </w:r>
    </w:p>
    <w:tbl>
      <w:tblPr>
        <w:tblW w:w="9885" w:type="dxa"/>
        <w:jc w:val="center"/>
        <w:shd w:val="clear" w:color="auto" w:fill="FFFFFF"/>
        <w:tblCellMar>
          <w:left w:w="0" w:type="dxa"/>
          <w:right w:w="0" w:type="dxa"/>
        </w:tblCellMar>
        <w:tblLook w:val="04A0" w:firstRow="1" w:lastRow="0" w:firstColumn="1" w:lastColumn="0" w:noHBand="0" w:noVBand="1"/>
      </w:tblPr>
      <w:tblGrid>
        <w:gridCol w:w="6906"/>
        <w:gridCol w:w="1474"/>
        <w:gridCol w:w="1505"/>
      </w:tblGrid>
      <w:tr w:rsidR="00954A4A"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25- Tổng doanh thu bán hàng và cung cấp dịch vụ (Mã số 01)</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Trong đó:</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bán hàng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cung cấp dịch vụ</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hợp đồng xây dựng (Đối với doanh nghiệp có hoạt động xây lắp)</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Doanh thu của hợp đồng xây dựng được ghi nhận trong kỳ;</w:t>
            </w:r>
          </w:p>
          <w:p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doanh thu luỹ kế của hợp đồng xây dựng được ghi nhận đến thời điểm lập báo cáo tài chính;</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26- Các khoản giảm trừ doanh thu (Mã số 02)</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Trong đó:</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Chiết khấu thương mại</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Giảm giá hàng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bán bị trả lại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GTGT phải nộp (phương pháp trực tiếp)</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tiêu thụ đặc biệt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xuất khẩu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27- Doanh thu thuần về bán hàng và cung cấp dịch vụ (Mã số 10)</w:t>
            </w:r>
          </w:p>
          <w:p w:rsidR="00954A4A" w:rsidRDefault="00954A4A">
            <w:pPr>
              <w:pStyle w:val="NormalWeb"/>
              <w:spacing w:before="0" w:beforeAutospacing="0" w:after="0" w:afterAutospacing="0" w:line="345" w:lineRule="atLeast"/>
              <w:ind w:left="180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Trong đó:  </w:t>
            </w:r>
          </w:p>
          <w:p w:rsidR="00954A4A" w:rsidRDefault="00954A4A">
            <w:pPr>
              <w:pStyle w:val="NormalWeb"/>
              <w:spacing w:before="0" w:beforeAutospacing="0" w:after="0" w:afterAutospacing="0" w:line="345" w:lineRule="atLeast"/>
              <w:ind w:left="180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thuần trao đổi sản phẩm, hàng hóa</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thuần trao đổi dịch vụ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28- Giá vốn hàng bán (Mã số 11)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vốn của hàng hóa đã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vốn của thành phẩm đã bán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vốn của dịch vụ đã cung cấp</w:t>
            </w:r>
          </w:p>
          <w:p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trị còn lại, chi phí nhượng bán, thanh lý của</w:t>
            </w:r>
          </w:p>
          <w:p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BĐS đầu tư đã bán</w:t>
            </w:r>
          </w:p>
          <w:p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kinh doanh Bất động sản đầu tư</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Hao hụt, mất mát hàng tồn kho</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khoản chi phí vượt mức bình thường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Dự phòng giảm giá hàng tồn kho</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29 - Doanh thu hoạt động tài chính Mã số 21)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tiền gửi, tiền cho vay</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đầu tư trái phiếu, kỳ phiếu, tín phiếu</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Cổ tức, lợi nhuận được chia</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bán ngoại tệ</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chênh lệch tỷ giá đã thực hiện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chênh lệch tỷ giá chưa thực hiện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bán hàng trả chậm</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Doanh thu hoạt động tài chính khác</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30- Chi phí tài chính (Mã số 22)</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tiền vay</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Chiết khấu thanh toán, lãi bán hàng trả chậm</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do thanh lý các khoản đầu tư ngắn hạn, dài hạn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bán ngoại tệ</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chênh lệch tỷ giá đã thực hiện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chênh lệch tỷ giá chưa thực hiện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Dự phòng giảm giá các khoản đầu tư ngắn hạn, dài hạn</w:t>
            </w:r>
          </w:p>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tài chính khác</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01"/>
        <w:gridCol w:w="1492"/>
        <w:gridCol w:w="1492"/>
      </w:tblGrid>
      <w:tr w:rsidR="00954A4A"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31- Chi phí thuế thu nhập doanh nghiệp hiện hành (Mã số 51)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thuế thu nhập doanh nghiệp tính trên thu nhập chịu thuế năm hiện hành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Điều chỉnh chi phí thuế thu nhập doanh nghiệp của các năm   trước vào chi phí thuế thu nhập hiện hành 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chi phí thuế thu nhập doanh nghiệp hiện hành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shd w:val="clear" w:color="auto" w:fill="FFFFFF"/>
        <w:tblCellMar>
          <w:left w:w="0" w:type="dxa"/>
          <w:right w:w="0" w:type="dxa"/>
        </w:tblCellMar>
        <w:tblLook w:val="04A0" w:firstRow="1" w:lastRow="0" w:firstColumn="1" w:lastColumn="0" w:noHBand="0" w:noVBand="1"/>
      </w:tblPr>
      <w:tblGrid>
        <w:gridCol w:w="6891"/>
        <w:gridCol w:w="1497"/>
        <w:gridCol w:w="1497"/>
      </w:tblGrid>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32- Chi phí thuế thu nhập doanh nghiệp hoãn lại (Mã số 52)</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thuế thu nhập doanh nghiệp hoãn lại phát sinh từ các khoản chênh lệch tạm thời phải chịu thuế</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thuế thu nhập doanh nghiệp hoãn lại phát sinh từ việc hoàn nhập tài sản thuế thu nhập hoãn lại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 nhập thuế thu nhập doanh nghiệp hoãn lại phát sinh từ các khoản chênh lệch tạm thời được khấu trừ</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 nhập thuế thu nhập doanh nghiệp hoãn lại phát sinh từ các khoản lỗ tính thuế và ưu đãi thuế chưa sử dụng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 nhập thuế thu nhập doanh nghiệp hoãn lại phát sinh từ việc hoàn nhập thuế thu nhập hoãn lại phải trả</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chi phí thuế thu nhập doanh nghiệp hoãn lại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33- Chi phí sản xuất, kinh doanh theo yếu tố</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nguyên liệu, vật liệu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nhân công</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khấu hao tài sản cố định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dịch vụ mua ngoài</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khác bằng tiền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Strong"/>
          <w:rFonts w:ascii="inherit" w:hAnsi="inherit" w:cs="Arial"/>
          <w:color w:val="000000"/>
          <w:sz w:val="21"/>
          <w:szCs w:val="21"/>
          <w:bdr w:val="none" w:sz="0" w:space="0" w:color="auto" w:frame="1"/>
        </w:rPr>
        <w:t>VII. Thông tin bổ sung cho các khoản mục trình bày trong</w:t>
      </w: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Báo cáo lưu chuyển tiền tệ                       (</w:t>
      </w:r>
      <w:r>
        <w:rPr>
          <w:rFonts w:ascii="inherit" w:hAnsi="inherit" w:cs="Arial"/>
          <w:color w:val="000000"/>
          <w:sz w:val="21"/>
          <w:szCs w:val="21"/>
          <w:bdr w:val="none" w:sz="0" w:space="0" w:color="auto" w:frame="1"/>
        </w:rPr>
        <w:t>Đơn vị tính:……………..)</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34. Các giao dịch không bằng tiền ảnh hưởng đến báo cáo lưu chuyển tiền tệ và các khoản tiền do doanh nghiệp nắm giữ nhưng không được sử dụng</w:t>
      </w:r>
    </w:p>
    <w:tbl>
      <w:tblPr>
        <w:tblW w:w="9885" w:type="dxa"/>
        <w:jc w:val="center"/>
        <w:shd w:val="clear" w:color="auto" w:fill="FFFFFF"/>
        <w:tblCellMar>
          <w:left w:w="0" w:type="dxa"/>
          <w:right w:w="0" w:type="dxa"/>
        </w:tblCellMar>
        <w:tblLook w:val="04A0" w:firstRow="1" w:lastRow="0" w:firstColumn="1" w:lastColumn="0" w:noHBand="0" w:noVBand="1"/>
      </w:tblPr>
      <w:tblGrid>
        <w:gridCol w:w="431"/>
        <w:gridCol w:w="6503"/>
        <w:gridCol w:w="1460"/>
        <w:gridCol w:w="1491"/>
      </w:tblGrid>
      <w:tr w:rsidR="00954A4A"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ind w:left="720"/>
              <w:textAlignment w:val="baseline"/>
              <w:rPr>
                <w:rFonts w:ascii="inherit" w:hAnsi="inherit" w:cs="Arial"/>
                <w:color w:val="000000"/>
                <w:sz w:val="21"/>
                <w:szCs w:val="21"/>
              </w:rPr>
            </w:pPr>
            <w:r>
              <w:rPr>
                <w:rFonts w:ascii="inherit" w:hAnsi="inherit" w:cs="Arial"/>
                <w:color w:val="000000"/>
                <w:sz w:val="21"/>
                <w:szCs w:val="21"/>
              </w:rPr>
              <w:t> </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a-</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Mua tài sản bằng cách nhận các khoản nợ liên quan trực tiếp hoặc thông qua nghiệp vụ cho thuê tài chính:</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doanh nghiệp thông qua phát hành cổ phiếu:</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Chuyển nợ thành vốn chủ sở hữu:</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Mua và thanh lý công ty con hoặc đơn vị kinh doanh khác trong kỳ báo cáo.</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giá trị mua hoặc thanh lý;</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Phần giá trị mua hoặc thanh lý được thanh toán bằng tiền và các khoản tương đương tiền;</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Số tiền và các khoản tương đương tiền thực có trong công ty con hoặc đơn vị kinh doanh khác được mua hoặc thanh lý;</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Phần giá trị tài sản (Tổng hợp theo từng loại tài sản) và nợ phải trả không phải là tiền và các khoản tương đương tiền trong công ty con hoặc đơn vị kinh doanh khác được mua hoặc thanh lý  trong kỳ.</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Strong"/>
          <w:rFonts w:ascii="inherit" w:hAnsi="inherit" w:cs="Arial"/>
          <w:color w:val="000000"/>
          <w:sz w:val="21"/>
          <w:szCs w:val="21"/>
          <w:bdr w:val="none" w:sz="0" w:space="0" w:color="auto" w:frame="1"/>
        </w:rPr>
        <w:t>VIII. Những thông tin khác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Những khoản nợ tiềm tàng, khoản cam kết và những thông tin tài chính khác:...................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Những sự kiện phát sinh sau ngày kết thúc kỳ kế toán năm:............................................</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 Thông tin về các bên liên quan:.......................................................................................</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4. Trình bày tài sản, doanh thu, kết quả kinh doanh theo bộ phận (theo lĩnh vực kinh doanh hoặc khu vực địa lý) theo quy định của Chuẩn mực kế toán số 28 “Báo cáo bộ phận”(2):............................</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5. Thông tin so sánh (những thay đổi về thông tin trong báo cáo tài chính của các niên độ kế toán trước):.............................................................................................................................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6. Thông tin về hoạt động liên tục:......................................................................................</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7. Những thông tin khác. (3)..............................................................................................</w:t>
      </w:r>
    </w:p>
    <w:p w:rsidR="00954A4A" w:rsidRDefault="00954A4A" w:rsidP="00954A4A">
      <w:pPr>
        <w:pStyle w:val="NormalWeb"/>
        <w:shd w:val="clear" w:color="auto" w:fill="FFFFFF"/>
        <w:spacing w:before="0" w:beforeAutospacing="0" w:after="90" w:afterAutospacing="0" w:line="345" w:lineRule="atLeast"/>
        <w:textAlignment w:val="baseline"/>
        <w:rPr>
          <w:rFonts w:ascii="Arial"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2051"/>
        <w:gridCol w:w="2849"/>
        <w:gridCol w:w="1424"/>
        <w:gridCol w:w="3561"/>
      </w:tblGrid>
      <w:tr w:rsidR="00954A4A" w:rsidTr="00954A4A">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28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04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                                                           Lập, ngày ... tháng ... năm ......</w:t>
            </w:r>
          </w:p>
        </w:tc>
      </w:tr>
      <w:tr w:rsidR="00954A4A" w:rsidTr="00954A4A">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Người lập biểu</w:t>
            </w:r>
          </w:p>
        </w:tc>
        <w:tc>
          <w:tcPr>
            <w:tcW w:w="432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Kế toán trưởng</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Giám đốc</w:t>
            </w:r>
          </w:p>
        </w:tc>
      </w:tr>
      <w:tr w:rsidR="00954A4A" w:rsidTr="00954A4A">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(Ký, họ tên)</w:t>
            </w:r>
          </w:p>
        </w:tc>
        <w:tc>
          <w:tcPr>
            <w:tcW w:w="432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(Ký, họ tên)</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(Ký, họ tên, đóng dấu)</w:t>
            </w:r>
          </w:p>
        </w:tc>
      </w:tr>
      <w:tr w:rsidR="00954A4A" w:rsidTr="00954A4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r>
    </w:tbl>
    <w:p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p w:rsidR="00954A4A" w:rsidRDefault="00954A4A" w:rsidP="00954A4A">
      <w:pPr>
        <w:pStyle w:val="NormalWeb"/>
        <w:shd w:val="clear" w:color="auto" w:fill="FFFFFF"/>
        <w:spacing w:before="0" w:beforeAutospacing="0" w:after="0" w:afterAutospacing="0" w:line="345" w:lineRule="atLeast"/>
        <w:ind w:left="360"/>
        <w:textAlignment w:val="baseline"/>
        <w:rPr>
          <w:rFonts w:ascii="Arial" w:hAnsi="Arial" w:cs="Arial"/>
          <w:color w:val="000000"/>
          <w:sz w:val="21"/>
          <w:szCs w:val="21"/>
        </w:rPr>
      </w:pPr>
      <w:r>
        <w:rPr>
          <w:rStyle w:val="Emphasis"/>
          <w:rFonts w:ascii="inherit" w:hAnsi="inherit" w:cs="Arial"/>
          <w:b/>
          <w:bCs/>
          <w:color w:val="000000"/>
          <w:sz w:val="21"/>
          <w:szCs w:val="21"/>
          <w:bdr w:val="none" w:sz="0" w:space="0" w:color="auto" w:frame="1"/>
        </w:rPr>
        <w:t>Ghi chú:</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(1) Những chỉ tiêu không có thông tin, số liệu thì không phải trình bày nhưng không được đánh</w:t>
      </w:r>
      <w:r>
        <w:rPr>
          <w:rFonts w:ascii="inherit" w:hAnsi="inherit" w:cs="Arial"/>
          <w:color w:val="000000"/>
          <w:sz w:val="21"/>
          <w:szCs w:val="21"/>
          <w:bdr w:val="none" w:sz="0" w:space="0" w:color="auto" w:frame="1"/>
        </w:rPr>
        <w:t> </w:t>
      </w:r>
      <w:r>
        <w:rPr>
          <w:rStyle w:val="Emphasis"/>
          <w:rFonts w:ascii="inherit" w:hAnsi="inherit" w:cs="Arial"/>
          <w:color w:val="000000"/>
          <w:sz w:val="21"/>
          <w:szCs w:val="21"/>
          <w:bdr w:val="none" w:sz="0" w:space="0" w:color="auto" w:frame="1"/>
        </w:rPr>
        <w:t>lại số thứ tự chỉ tiêu.</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(2) Chỉ áp dụng cho công ty niêm yết.</w:t>
      </w:r>
    </w:p>
    <w:p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(3) Doanh nghiệp được trình bày thêm các thông tin khác xét thấy cần thiết cho người sử dụng báo cáo tài chính.</w:t>
      </w:r>
    </w:p>
    <w:p w:rsidR="00266947" w:rsidRPr="00954A4A" w:rsidRDefault="00266947" w:rsidP="00954A4A"/>
    <w:sectPr w:rsidR="00266947" w:rsidRPr="00954A4A" w:rsidSect="008744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29" w:rsidRDefault="001C1A29" w:rsidP="007446EA">
      <w:pPr>
        <w:spacing w:after="0" w:line="240" w:lineRule="auto"/>
      </w:pPr>
      <w:r>
        <w:separator/>
      </w:r>
    </w:p>
  </w:endnote>
  <w:endnote w:type="continuationSeparator" w:id="0">
    <w:p w:rsidR="001C1A29" w:rsidRDefault="001C1A2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9C" w:rsidRDefault="002D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C959FE" w:rsidRDefault="00C959FE" w:rsidP="00C959FE">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9C" w:rsidRDefault="002D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29" w:rsidRDefault="001C1A29" w:rsidP="007446EA">
      <w:pPr>
        <w:spacing w:after="0" w:line="240" w:lineRule="auto"/>
      </w:pPr>
      <w:r>
        <w:separator/>
      </w:r>
    </w:p>
  </w:footnote>
  <w:footnote w:type="continuationSeparator" w:id="0">
    <w:p w:rsidR="001C1A29" w:rsidRDefault="001C1A29"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9C" w:rsidRDefault="002D4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C959FE" w:rsidRDefault="00C959FE" w:rsidP="00C959FE">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9C" w:rsidRDefault="002D4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FD800"/>
    <w:multiLevelType w:val="singleLevel"/>
    <w:tmpl w:val="550FD800"/>
    <w:lvl w:ilvl="0">
      <w:start w:val="1"/>
      <w:numFmt w:val="decimal"/>
      <w:suff w:val="space"/>
      <w:lvlText w:val="%1."/>
      <w:lvlJc w:val="left"/>
    </w:lvl>
  </w:abstractNum>
  <w:abstractNum w:abstractNumId="6">
    <w:nsid w:val="550FD80E"/>
    <w:multiLevelType w:val="singleLevel"/>
    <w:tmpl w:val="550FD80E"/>
    <w:lvl w:ilvl="0">
      <w:start w:val="2"/>
      <w:numFmt w:val="decimal"/>
      <w:suff w:val="space"/>
      <w:lvlText w:val="%1."/>
      <w:lvlJc w:val="left"/>
    </w:lvl>
  </w:abstractNum>
  <w:abstractNum w:abstractNumId="7">
    <w:nsid w:val="550FD885"/>
    <w:multiLevelType w:val="singleLevel"/>
    <w:tmpl w:val="550FD885"/>
    <w:lvl w:ilvl="0">
      <w:start w:val="1"/>
      <w:numFmt w:val="decimal"/>
      <w:suff w:val="space"/>
      <w:lvlText w:val="%1."/>
      <w:lvlJc w:val="left"/>
    </w:lvl>
  </w:abstractNum>
  <w:abstractNum w:abstractNumId="8">
    <w:nsid w:val="550FD89C"/>
    <w:multiLevelType w:val="singleLevel"/>
    <w:tmpl w:val="550FD89C"/>
    <w:lvl w:ilvl="0">
      <w:start w:val="1"/>
      <w:numFmt w:val="decimal"/>
      <w:suff w:val="space"/>
      <w:lvlText w:val="%1."/>
      <w:lvlJc w:val="left"/>
    </w:lvl>
  </w:abstractNum>
  <w:abstractNum w:abstractNumId="9">
    <w:nsid w:val="550FD8B7"/>
    <w:multiLevelType w:val="singleLevel"/>
    <w:tmpl w:val="550FD8B7"/>
    <w:lvl w:ilvl="0">
      <w:start w:val="1"/>
      <w:numFmt w:val="decimal"/>
      <w:suff w:val="space"/>
      <w:lvlText w:val="%1."/>
      <w:lvlJc w:val="left"/>
    </w:lvl>
  </w:abstractNum>
  <w:abstractNum w:abstractNumId="1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1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12">
    <w:nsid w:val="550FDC41"/>
    <w:multiLevelType w:val="singleLevel"/>
    <w:tmpl w:val="550FDC41"/>
    <w:lvl w:ilvl="0">
      <w:start w:val="1"/>
      <w:numFmt w:val="decimal"/>
      <w:suff w:val="space"/>
      <w:lvlText w:val="%1."/>
      <w:lvlJc w:val="left"/>
    </w:lvl>
  </w:abstractNum>
  <w:abstractNum w:abstractNumId="1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4"/>
  </w:num>
  <w:num w:numId="11">
    <w:abstractNumId w:val="2"/>
  </w:num>
  <w:num w:numId="12">
    <w:abstractNumId w:val="15"/>
  </w:num>
  <w:num w:numId="13">
    <w:abstractNumId w:val="16"/>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97E4F"/>
    <w:rsid w:val="001C1A29"/>
    <w:rsid w:val="00266947"/>
    <w:rsid w:val="00276A35"/>
    <w:rsid w:val="002C392D"/>
    <w:rsid w:val="002C6432"/>
    <w:rsid w:val="002D409C"/>
    <w:rsid w:val="003C01DF"/>
    <w:rsid w:val="0041720F"/>
    <w:rsid w:val="00425AAF"/>
    <w:rsid w:val="004D6025"/>
    <w:rsid w:val="00640271"/>
    <w:rsid w:val="007446EA"/>
    <w:rsid w:val="00770BA3"/>
    <w:rsid w:val="0079414E"/>
    <w:rsid w:val="007B275F"/>
    <w:rsid w:val="008744ED"/>
    <w:rsid w:val="00895964"/>
    <w:rsid w:val="008D6F0B"/>
    <w:rsid w:val="00954A4A"/>
    <w:rsid w:val="009874E5"/>
    <w:rsid w:val="00A418C7"/>
    <w:rsid w:val="00AC07C4"/>
    <w:rsid w:val="00B73F2C"/>
    <w:rsid w:val="00C959FE"/>
    <w:rsid w:val="00DF66F6"/>
    <w:rsid w:val="00E3032B"/>
    <w:rsid w:val="00E87320"/>
    <w:rsid w:val="00EC2D51"/>
    <w:rsid w:val="00F833BC"/>
    <w:rsid w:val="00F9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xem-vb/4561/thong-tu-so-200-2014-tt-btc-cua-bo-tai-chinh-huong-dan-che-do-ke-toan-doanh-nghiep.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7</cp:revision>
  <dcterms:created xsi:type="dcterms:W3CDTF">2015-09-25T00:33:00Z</dcterms:created>
  <dcterms:modified xsi:type="dcterms:W3CDTF">2020-05-18T05:28:00Z</dcterms:modified>
</cp:coreProperties>
</file>